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0"/>
        <w:rPr>
          <w:sz w:val="29"/>
        </w:rPr>
      </w:pPr>
    </w:p>
    <w:p>
      <w:pPr>
        <w:pStyle w:val="2"/>
        <w:spacing w:line="360" w:lineRule="auto"/>
        <w:ind w:right="136"/>
        <w:jc w:val="center"/>
      </w:pPr>
      <w:r>
        <w:t>石嘴山市人民政府规章制定程序规定</w:t>
      </w:r>
    </w:p>
    <w:p>
      <w:pPr>
        <w:spacing w:line="360" w:lineRule="auto"/>
        <w:ind w:firstLine="640" w:firstLineChars="200"/>
        <w:jc w:val="both"/>
      </w:pPr>
      <w:r>
        <w:rPr>
          <w:rFonts w:hint="eastAsia" w:ascii="楷体_GB2312" w:hAnsi="楷体_GB2312" w:eastAsia="楷体_GB2312" w:cs="楷体_GB2312"/>
          <w:i w:val="0"/>
          <w:color w:val="auto"/>
          <w:kern w:val="0"/>
          <w:sz w:val="32"/>
          <w:szCs w:val="32"/>
          <w:highlight w:val="none"/>
          <w:u w:val="none"/>
          <w:shd w:val="clear" w:color="auto" w:fill="auto"/>
          <w:lang w:val="en-US" w:eastAsia="zh-CN"/>
        </w:rPr>
        <w:t>（2019年8月22日石嘴山市人民政府令第1号公布　自2019年10月1日起施行）</w:t>
      </w:r>
    </w:p>
    <w:p>
      <w:pPr>
        <w:pStyle w:val="3"/>
        <w:spacing w:before="12"/>
        <w:rPr>
          <w:rFonts w:ascii="方正小标宋_GBK"/>
        </w:rPr>
      </w:pPr>
    </w:p>
    <w:p>
      <w:pPr>
        <w:pStyle w:val="3"/>
        <w:tabs>
          <w:tab w:val="left" w:pos="1281"/>
          <w:tab w:val="left" w:pos="1919"/>
        </w:tabs>
        <w:ind w:right="156"/>
        <w:jc w:val="center"/>
        <w:rPr>
          <w:rFonts w:hint="eastAsia" w:ascii="方正小标宋_GBK" w:eastAsia="方正小标宋_GBK"/>
        </w:rPr>
      </w:pPr>
      <w:r>
        <w:rPr>
          <w:rFonts w:hint="eastAsia" w:ascii="方正小标宋_GBK" w:eastAsia="方正小标宋_GBK"/>
        </w:rPr>
        <w:t>第一章</w:t>
      </w:r>
      <w:r>
        <w:rPr>
          <w:rFonts w:hint="eastAsia" w:ascii="方正小标宋_GBK" w:eastAsia="方正小标宋_GBK"/>
        </w:rPr>
        <w:tab/>
      </w:r>
      <w:r>
        <w:rPr>
          <w:rFonts w:hint="eastAsia" w:ascii="方正小标宋_GBK" w:eastAsia="方正小标宋_GBK"/>
        </w:rPr>
        <w:t>总则</w:t>
      </w:r>
    </w:p>
    <w:p>
      <w:pPr>
        <w:pStyle w:val="3"/>
        <w:spacing w:before="10"/>
        <w:rPr>
          <w:rFonts w:ascii="方正小标宋_GBK"/>
        </w:rPr>
      </w:pPr>
    </w:p>
    <w:p>
      <w:pPr>
        <w:pStyle w:val="3"/>
        <w:spacing w:line="261" w:lineRule="auto"/>
        <w:ind w:left="106" w:right="257" w:firstLine="631"/>
        <w:jc w:val="both"/>
      </w:pPr>
      <w:r>
        <w:rPr>
          <w:rFonts w:hint="eastAsia" w:ascii="方正黑体_GBK" w:eastAsia="方正黑体_GBK"/>
          <w:spacing w:val="9"/>
        </w:rPr>
        <w:t xml:space="preserve">第一条 </w:t>
      </w:r>
      <w:r>
        <w:rPr>
          <w:spacing w:val="-7"/>
        </w:rPr>
        <w:t>为规范我市政府规章制定程序，保证规章质量，根</w:t>
      </w:r>
      <w:r>
        <w:rPr>
          <w:spacing w:val="-16"/>
        </w:rPr>
        <w:t>据《中华人民共和国立法法》《规章制定程序条例》等法律、法规，结合本市实际，制定本规定。</w:t>
      </w:r>
    </w:p>
    <w:p>
      <w:pPr>
        <w:pStyle w:val="3"/>
        <w:tabs>
          <w:tab w:val="left" w:pos="1385"/>
          <w:tab w:val="left" w:pos="2016"/>
        </w:tabs>
        <w:spacing w:line="261" w:lineRule="auto"/>
        <w:ind w:left="106" w:right="148" w:firstLine="631"/>
        <w:jc w:val="both"/>
        <w:rPr>
          <w:w w:val="95"/>
        </w:rPr>
      </w:pPr>
      <w:r>
        <w:rPr>
          <w:rFonts w:hint="eastAsia" w:ascii="方正黑体_GBK" w:eastAsia="方正黑体_GBK"/>
        </w:rPr>
        <w:t>第二条</w:t>
      </w:r>
      <w:r>
        <w:rPr>
          <w:rFonts w:hint="eastAsia" w:ascii="方正黑体_GBK" w:eastAsia="方正黑体_GBK"/>
        </w:rPr>
        <w:tab/>
      </w:r>
      <w:r>
        <w:rPr>
          <w:w w:val="95"/>
        </w:rPr>
        <w:t>市人民政府规章（以下简称规章）的立项、起</w:t>
      </w:r>
      <w:r>
        <w:rPr>
          <w:spacing w:val="-4"/>
          <w:w w:val="95"/>
        </w:rPr>
        <w:t>草</w:t>
      </w:r>
      <w:r>
        <w:rPr>
          <w:w w:val="95"/>
        </w:rPr>
        <w:t>、 审查、决定、公布、备案、立法后评估、清理等，适用本规</w:t>
      </w:r>
      <w:r>
        <w:rPr>
          <w:spacing w:val="-5"/>
          <w:w w:val="95"/>
        </w:rPr>
        <w:t>定</w:t>
      </w:r>
      <w:r>
        <w:rPr>
          <w:w w:val="95"/>
        </w:rPr>
        <w:t>。</w:t>
      </w:r>
    </w:p>
    <w:p>
      <w:pPr>
        <w:pStyle w:val="3"/>
        <w:tabs>
          <w:tab w:val="left" w:pos="1385"/>
          <w:tab w:val="left" w:pos="2016"/>
        </w:tabs>
        <w:spacing w:line="261" w:lineRule="auto"/>
        <w:ind w:left="106" w:right="148" w:firstLine="631"/>
        <w:jc w:val="both"/>
      </w:pPr>
      <w:r>
        <w:rPr>
          <w:rFonts w:hint="eastAsia" w:ascii="方正黑体_GBK" w:eastAsia="方正黑体_GBK"/>
        </w:rPr>
        <w:t>第三条</w:t>
      </w:r>
      <w:r>
        <w:rPr>
          <w:rFonts w:hint="eastAsia" w:ascii="方正黑体_GBK" w:eastAsia="方正黑体_GBK"/>
        </w:rPr>
        <w:tab/>
      </w:r>
      <w:r>
        <w:rPr>
          <w:w w:val="95"/>
        </w:rPr>
        <w:t>制定规章</w:t>
      </w:r>
      <w:r>
        <w:rPr>
          <w:spacing w:val="-103"/>
          <w:w w:val="95"/>
        </w:rPr>
        <w:t>，</w:t>
      </w:r>
      <w:r>
        <w:rPr>
          <w:w w:val="95"/>
        </w:rPr>
        <w:t>应当贯彻落实党的路线方针政策和决策</w:t>
      </w:r>
    </w:p>
    <w:p>
      <w:pPr>
        <w:pStyle w:val="3"/>
        <w:spacing w:line="261" w:lineRule="auto"/>
        <w:ind w:left="106" w:right="258"/>
      </w:pPr>
      <w:r>
        <w:rPr>
          <w:spacing w:val="-12"/>
        </w:rPr>
        <w:t>部署。制定政治方面的法律、法规的配套规章和重大经济社会方面的规章，应当按照有关规定，及时报告市委。</w:t>
      </w:r>
    </w:p>
    <w:p>
      <w:pPr>
        <w:pStyle w:val="3"/>
        <w:tabs>
          <w:tab w:val="left" w:pos="2016"/>
        </w:tabs>
        <w:spacing w:line="261" w:lineRule="auto"/>
        <w:ind w:left="106" w:right="100" w:firstLine="631"/>
      </w:pPr>
      <w:r>
        <w:rPr>
          <w:rFonts w:hint="eastAsia" w:ascii="方正黑体_GBK" w:eastAsia="方正黑体_GBK"/>
        </w:rPr>
        <w:t>第四条</w:t>
      </w:r>
      <w:r>
        <w:rPr>
          <w:rFonts w:hint="eastAsia" w:ascii="方正黑体_GBK" w:eastAsia="方正黑体_GBK"/>
        </w:rPr>
        <w:tab/>
      </w:r>
      <w:r>
        <w:t>制定规章</w:t>
      </w:r>
      <w:r>
        <w:rPr>
          <w:spacing w:val="-87"/>
        </w:rPr>
        <w:t>，</w:t>
      </w:r>
      <w:r>
        <w:t>应当遵</w:t>
      </w:r>
      <w:r>
        <w:rPr>
          <w:spacing w:val="-87"/>
        </w:rPr>
        <w:t>循</w:t>
      </w:r>
      <w:r>
        <w:t>《中华人民共和国立法法</w:t>
      </w:r>
      <w:r>
        <w:rPr>
          <w:spacing w:val="-247"/>
        </w:rPr>
        <w:t>》</w:t>
      </w:r>
      <w:r>
        <w:t>《规</w:t>
      </w:r>
      <w:r>
        <w:rPr>
          <w:w w:val="95"/>
        </w:rPr>
        <w:t>章制定程序条例</w:t>
      </w:r>
      <w:r>
        <w:rPr>
          <w:spacing w:val="-67"/>
          <w:w w:val="95"/>
        </w:rPr>
        <w:t>》</w:t>
      </w:r>
      <w:r>
        <w:rPr>
          <w:w w:val="95"/>
        </w:rPr>
        <w:t>确立的立法原则</w:t>
      </w:r>
      <w:r>
        <w:rPr>
          <w:spacing w:val="-67"/>
          <w:w w:val="95"/>
        </w:rPr>
        <w:t>，</w:t>
      </w:r>
      <w:r>
        <w:rPr>
          <w:w w:val="95"/>
        </w:rPr>
        <w:t>符合宪法</w:t>
      </w:r>
      <w:r>
        <w:rPr>
          <w:spacing w:val="-67"/>
          <w:w w:val="95"/>
        </w:rPr>
        <w:t>、</w:t>
      </w:r>
      <w:r>
        <w:rPr>
          <w:w w:val="95"/>
        </w:rPr>
        <w:t>法律</w:t>
      </w:r>
      <w:r>
        <w:rPr>
          <w:spacing w:val="-70"/>
          <w:w w:val="95"/>
        </w:rPr>
        <w:t>、</w:t>
      </w:r>
      <w:r>
        <w:rPr>
          <w:w w:val="95"/>
        </w:rPr>
        <w:t xml:space="preserve">法规规定，  </w:t>
      </w:r>
      <w:r>
        <w:t>坚持从本地实际出发</w:t>
      </w:r>
      <w:r>
        <w:rPr>
          <w:spacing w:val="-36"/>
        </w:rPr>
        <w:t>，</w:t>
      </w:r>
      <w:r>
        <w:t>坚持科学性</w:t>
      </w:r>
      <w:r>
        <w:rPr>
          <w:spacing w:val="-36"/>
        </w:rPr>
        <w:t>、</w:t>
      </w:r>
      <w:r>
        <w:t>民主性</w:t>
      </w:r>
      <w:r>
        <w:rPr>
          <w:spacing w:val="-39"/>
        </w:rPr>
        <w:t>，</w:t>
      </w:r>
      <w:r>
        <w:t>坚持立法与改革决策相结合，坚持精简、统一、效能原则。没有法律、法规依</w:t>
      </w:r>
      <w:r>
        <w:rPr>
          <w:spacing w:val="-5"/>
        </w:rPr>
        <w:t>据</w:t>
      </w:r>
      <w:r>
        <w:t>， 规章不得设定减损公民</w:t>
      </w:r>
      <w:r>
        <w:rPr>
          <w:spacing w:val="-115"/>
        </w:rPr>
        <w:t>、</w:t>
      </w:r>
      <w:r>
        <w:t>法人和其他组织权利或者增加其义务的规范。</w:t>
      </w:r>
    </w:p>
    <w:p>
      <w:pPr>
        <w:pStyle w:val="3"/>
        <w:spacing w:line="261" w:lineRule="auto"/>
        <w:ind w:left="106" w:right="157" w:firstLine="631"/>
        <w:jc w:val="both"/>
      </w:pPr>
      <w:r>
        <w:rPr>
          <w:rFonts w:hint="eastAsia" w:ascii="方正黑体_GBK" w:eastAsia="方正黑体_GBK"/>
          <w:spacing w:val="11"/>
        </w:rPr>
        <w:t xml:space="preserve">第五条 </w:t>
      </w:r>
      <w:r>
        <w:rPr>
          <w:spacing w:val="-1"/>
        </w:rPr>
        <w:t>市人民政府统一领导规章制定工作，研究、协调、</w:t>
      </w:r>
      <w:r>
        <w:rPr>
          <w:spacing w:val="-9"/>
        </w:rPr>
        <w:t>决定规章制定中的重大问题。规章制定工作所需经费，纳入财政</w:t>
      </w:r>
      <w:r>
        <w:rPr>
          <w:spacing w:val="-14"/>
        </w:rPr>
        <w:t>预算予以保障。市人民政府法制机构具体负责统筹、组织、协调</w:t>
      </w:r>
      <w:r>
        <w:rPr>
          <w:spacing w:val="-17"/>
        </w:rPr>
        <w:t>和指导规章制定工作。市人民政府各部门、各县区人民政府以及</w:t>
      </w:r>
      <w:r>
        <w:rPr>
          <w:spacing w:val="-10"/>
        </w:rPr>
        <w:t>有关单位、组织应当按照职责和要求，共同做好规章的起草、调</w:t>
      </w:r>
      <w:r>
        <w:rPr>
          <w:spacing w:val="-13"/>
        </w:rPr>
        <w:t>研、论证和征求意见等工作，具体工作由其承担法制工作的机构负责统筹、组织。</w:t>
      </w:r>
    </w:p>
    <w:p>
      <w:pPr>
        <w:pStyle w:val="3"/>
        <w:spacing w:line="261" w:lineRule="auto"/>
        <w:ind w:left="106" w:right="260" w:firstLine="631"/>
        <w:jc w:val="both"/>
      </w:pPr>
      <w:r>
        <w:rPr>
          <w:rFonts w:hint="eastAsia" w:ascii="方正黑体_GBK" w:eastAsia="方正黑体_GBK"/>
        </w:rPr>
        <w:t xml:space="preserve">第六条 </w:t>
      </w:r>
      <w:r>
        <w:t>规章制定限于城乡建设与管理、环境保护、历史文化保护等方面的事项。</w:t>
      </w:r>
    </w:p>
    <w:p>
      <w:pPr>
        <w:pStyle w:val="3"/>
        <w:spacing w:line="261" w:lineRule="auto"/>
        <w:ind w:left="106" w:right="102" w:firstLine="631"/>
        <w:jc w:val="both"/>
      </w:pPr>
      <w:r>
        <w:rPr>
          <w:rFonts w:hint="eastAsia" w:ascii="方正黑体_GBK" w:eastAsia="方正黑体_GBK"/>
          <w:spacing w:val="9"/>
        </w:rPr>
        <w:t xml:space="preserve">第七条  </w:t>
      </w:r>
      <w:r>
        <w:rPr>
          <w:spacing w:val="-7"/>
        </w:rPr>
        <w:t>鼓励社会公众有序参与规章项目征集、公开征求意</w:t>
      </w:r>
      <w:r>
        <w:rPr>
          <w:spacing w:val="-12"/>
        </w:rPr>
        <w:t>见、听证、咨询论证、评估等立法过程，提出意见和建议。政府</w:t>
      </w:r>
      <w:r>
        <w:rPr>
          <w:spacing w:val="-17"/>
        </w:rPr>
        <w:t>法制机构可以选取有代表性的县区人民政府、政府工作部门、社</w:t>
      </w:r>
      <w:r>
        <w:rPr>
          <w:spacing w:val="-21"/>
          <w:w w:val="95"/>
        </w:rPr>
        <w:t>会组织、企业事业单位等作为立法基层联系点，听取意见和建议。</w:t>
      </w:r>
    </w:p>
    <w:p>
      <w:pPr>
        <w:pStyle w:val="3"/>
        <w:spacing w:before="10"/>
      </w:pPr>
    </w:p>
    <w:p>
      <w:pPr>
        <w:pStyle w:val="3"/>
        <w:tabs>
          <w:tab w:val="left" w:pos="1281"/>
          <w:tab w:val="left" w:pos="1919"/>
        </w:tabs>
        <w:ind w:right="156"/>
        <w:jc w:val="center"/>
        <w:rPr>
          <w:rFonts w:hint="eastAsia" w:ascii="方正小标宋_GBK" w:eastAsia="方正小标宋_GBK"/>
        </w:rPr>
      </w:pPr>
      <w:r>
        <w:rPr>
          <w:rFonts w:hint="eastAsia" w:ascii="方正小标宋_GBK" w:eastAsia="方正小标宋_GBK"/>
        </w:rPr>
        <w:t>第二章</w:t>
      </w:r>
      <w:r>
        <w:rPr>
          <w:rFonts w:hint="eastAsia" w:ascii="方正小标宋_GBK" w:eastAsia="方正小标宋_GBK"/>
        </w:rPr>
        <w:tab/>
      </w:r>
      <w:r>
        <w:rPr>
          <w:rFonts w:hint="eastAsia" w:ascii="方正小标宋_GBK" w:eastAsia="方正小标宋_GBK"/>
        </w:rPr>
        <w:t>立项</w:t>
      </w:r>
    </w:p>
    <w:p>
      <w:pPr>
        <w:pStyle w:val="3"/>
        <w:spacing w:before="10"/>
        <w:rPr>
          <w:rFonts w:ascii="方正小标宋_GBK"/>
        </w:rPr>
      </w:pPr>
    </w:p>
    <w:p>
      <w:pPr>
        <w:pStyle w:val="3"/>
        <w:spacing w:line="261" w:lineRule="auto"/>
        <w:ind w:left="106" w:right="258" w:firstLine="631"/>
        <w:jc w:val="both"/>
      </w:pPr>
      <w:r>
        <w:rPr>
          <w:rFonts w:hint="eastAsia" w:ascii="方正黑体_GBK" w:eastAsia="方正黑体_GBK"/>
          <w:spacing w:val="11"/>
        </w:rPr>
        <w:t xml:space="preserve">第八条 </w:t>
      </w:r>
      <w:r>
        <w:rPr>
          <w:spacing w:val="-7"/>
        </w:rPr>
        <w:t>市人民政府应当根据经济和社会发展需要，编制规</w:t>
      </w:r>
      <w:r>
        <w:rPr>
          <w:spacing w:val="-15"/>
        </w:rPr>
        <w:t>章五年立法规划和年度立法计划。市人民政府所属工作部门或者</w:t>
      </w:r>
      <w:r>
        <w:rPr>
          <w:spacing w:val="6"/>
          <w:w w:val="95"/>
        </w:rPr>
        <w:t xml:space="preserve">县区人民政府认为需要制定规章的，应当向市人民政府报请立 </w:t>
      </w:r>
      <w:r>
        <w:rPr>
          <w:spacing w:val="6"/>
        </w:rPr>
        <w:t>项。</w:t>
      </w:r>
    </w:p>
    <w:p>
      <w:pPr>
        <w:pStyle w:val="3"/>
        <w:spacing w:line="261" w:lineRule="auto"/>
        <w:ind w:left="106" w:right="256" w:firstLine="631"/>
        <w:jc w:val="both"/>
      </w:pPr>
      <w:r>
        <w:rPr>
          <w:rFonts w:hint="eastAsia" w:ascii="方正黑体_GBK" w:eastAsia="方正黑体_GBK"/>
          <w:spacing w:val="18"/>
        </w:rPr>
        <w:t xml:space="preserve">第九条 </w:t>
      </w:r>
      <w:r>
        <w:rPr>
          <w:spacing w:val="7"/>
        </w:rPr>
        <w:t>政府法制机构可以于每年下半年向市人民政府所</w:t>
      </w:r>
      <w:r>
        <w:rPr>
          <w:spacing w:val="-8"/>
        </w:rPr>
        <w:t>属工作部门、县区人民政府、社会组织征集下一年度规章制定项</w:t>
      </w:r>
      <w:r>
        <w:rPr>
          <w:spacing w:val="-12"/>
        </w:rPr>
        <w:t>目建议，也可以通过走访基层单位、立法基层联系点以及在门户</w:t>
      </w:r>
      <w:r>
        <w:rPr>
          <w:spacing w:val="-13"/>
        </w:rPr>
        <w:t>网站、报刊等媒体上向社会公开征集的方式，征集规章制定项目建议。市人民政府所属工作部门或者县区人民政府应当在规定时</w:t>
      </w:r>
      <w:r>
        <w:rPr>
          <w:spacing w:val="-17"/>
        </w:rPr>
        <w:t>间内按照要求向政府立法部门报送制定规章的立项申请，对制定</w:t>
      </w:r>
    </w:p>
    <w:p>
      <w:pPr>
        <w:spacing w:after="0" w:line="261" w:lineRule="auto"/>
        <w:jc w:val="both"/>
        <w:sectPr>
          <w:footerReference r:id="rId5" w:type="default"/>
          <w:footerReference r:id="rId6" w:type="even"/>
          <w:pgSz w:w="11920" w:h="16850"/>
          <w:pgMar w:top="1600" w:right="1220" w:bottom="1960" w:left="1480" w:header="0" w:footer="1771" w:gutter="0"/>
          <w:cols w:space="720" w:num="1"/>
        </w:sectPr>
      </w:pPr>
    </w:p>
    <w:p>
      <w:pPr>
        <w:pStyle w:val="3"/>
        <w:rPr>
          <w:sz w:val="20"/>
        </w:rPr>
      </w:pPr>
    </w:p>
    <w:p>
      <w:pPr>
        <w:pStyle w:val="3"/>
        <w:spacing w:before="1"/>
        <w:rPr>
          <w:sz w:val="15"/>
        </w:rPr>
      </w:pPr>
    </w:p>
    <w:p>
      <w:pPr>
        <w:pStyle w:val="3"/>
        <w:spacing w:before="22" w:line="261" w:lineRule="auto"/>
        <w:ind w:left="106" w:right="260"/>
        <w:jc w:val="both"/>
      </w:pPr>
      <w:r>
        <w:rPr>
          <w:spacing w:val="-10"/>
          <w:w w:val="95"/>
        </w:rPr>
        <w:t xml:space="preserve">规章的必要性、所要解决的主要问题、拟确立的主要制度等作出  </w:t>
      </w:r>
      <w:r>
        <w:rPr>
          <w:spacing w:val="-8"/>
          <w:w w:val="95"/>
        </w:rPr>
        <w:t>说明。开展立法前评估</w:t>
      </w:r>
      <w:r>
        <w:rPr>
          <w:w w:val="95"/>
        </w:rPr>
        <w:t>（论证</w:t>
      </w:r>
      <w:r>
        <w:rPr>
          <w:spacing w:val="-19"/>
          <w:w w:val="95"/>
        </w:rPr>
        <w:t>）</w:t>
      </w:r>
      <w:r>
        <w:rPr>
          <w:spacing w:val="-6"/>
          <w:w w:val="95"/>
        </w:rPr>
        <w:t>的，提交立法前评估</w:t>
      </w:r>
      <w:r>
        <w:rPr>
          <w:w w:val="95"/>
        </w:rPr>
        <w:t>（论证</w:t>
      </w:r>
      <w:r>
        <w:rPr>
          <w:spacing w:val="-17"/>
          <w:w w:val="95"/>
        </w:rPr>
        <w:t>）</w:t>
      </w:r>
      <w:r>
        <w:rPr>
          <w:w w:val="95"/>
        </w:rPr>
        <w:t xml:space="preserve">报 </w:t>
      </w:r>
      <w:r>
        <w:t>告。</w:t>
      </w:r>
    </w:p>
    <w:p>
      <w:pPr>
        <w:pStyle w:val="3"/>
        <w:spacing w:line="261" w:lineRule="auto"/>
        <w:ind w:left="106" w:right="259" w:firstLine="631"/>
        <w:jc w:val="both"/>
      </w:pPr>
      <w:r>
        <w:rPr>
          <w:rFonts w:hint="eastAsia" w:ascii="方正黑体_GBK" w:eastAsia="方正黑体_GBK"/>
          <w:spacing w:val="10"/>
        </w:rPr>
        <w:t xml:space="preserve">第十条 </w:t>
      </w:r>
      <w:r>
        <w:rPr>
          <w:spacing w:val="-10"/>
        </w:rPr>
        <w:t>政府法制机构根据党委、政府工作安排以及人大议</w:t>
      </w:r>
      <w:r>
        <w:rPr>
          <w:spacing w:val="-12"/>
        </w:rPr>
        <w:t>案、代表建议和政协委员提案等实际工作需要，可以直接提出制定规章项目，或者交由相关部门研究并提出意见。</w:t>
      </w:r>
    </w:p>
    <w:p>
      <w:pPr>
        <w:pStyle w:val="3"/>
        <w:spacing w:line="511" w:lineRule="exact"/>
        <w:ind w:left="737"/>
        <w:jc w:val="both"/>
      </w:pPr>
      <w:r>
        <w:rPr>
          <w:rFonts w:hint="eastAsia" w:ascii="方正黑体_GBK" w:eastAsia="方正黑体_GBK"/>
        </w:rPr>
        <w:t xml:space="preserve">第十一条 </w:t>
      </w:r>
      <w:r>
        <w:t>纳入规章制定工作计划的项目应当符合下列条</w:t>
      </w:r>
    </w:p>
    <w:p>
      <w:pPr>
        <w:pStyle w:val="3"/>
        <w:spacing w:before="40"/>
        <w:ind w:left="106"/>
      </w:pPr>
      <w:r>
        <w:rPr>
          <w:w w:val="99"/>
        </w:rPr>
        <w:t>件</w:t>
      </w:r>
    </w:p>
    <w:p>
      <w:pPr>
        <w:pStyle w:val="3"/>
        <w:spacing w:before="46"/>
        <w:ind w:left="737"/>
      </w:pPr>
      <w:r>
        <w:t>（一）属于规章制定权限范围；</w:t>
      </w:r>
    </w:p>
    <w:p>
      <w:pPr>
        <w:pStyle w:val="3"/>
        <w:spacing w:before="45"/>
        <w:ind w:left="737"/>
      </w:pPr>
      <w:r>
        <w:t>（二）属于本级人民政府职权范围</w:t>
      </w:r>
    </w:p>
    <w:p>
      <w:pPr>
        <w:pStyle w:val="3"/>
        <w:spacing w:before="44"/>
        <w:ind w:left="737"/>
      </w:pPr>
      <w:r>
        <w:t>（三）符合本行政区域经济社会发展和行政管理实际需要，</w:t>
      </w:r>
    </w:p>
    <w:p>
      <w:pPr>
        <w:pStyle w:val="3"/>
        <w:spacing w:before="46"/>
        <w:ind w:left="106"/>
      </w:pPr>
      <w:r>
        <w:t>能够切实有效地解决问题；</w:t>
      </w:r>
    </w:p>
    <w:p>
      <w:pPr>
        <w:pStyle w:val="3"/>
        <w:spacing w:before="45" w:line="261" w:lineRule="auto"/>
        <w:ind w:left="106" w:right="102" w:firstLine="631"/>
      </w:pPr>
      <w:r>
        <w:rPr>
          <w:w w:val="95"/>
        </w:rPr>
        <w:t>（四</w:t>
      </w:r>
      <w:r>
        <w:rPr>
          <w:spacing w:val="-87"/>
          <w:w w:val="95"/>
        </w:rPr>
        <w:t>）</w:t>
      </w:r>
      <w:r>
        <w:rPr>
          <w:spacing w:val="-14"/>
          <w:w w:val="95"/>
        </w:rPr>
        <w:t xml:space="preserve">制定依据明确，拟确立的主要制度和措施合法、必要、 </w:t>
      </w:r>
      <w:r>
        <w:rPr>
          <w:spacing w:val="-14"/>
        </w:rPr>
        <w:t>可行。</w:t>
      </w:r>
    </w:p>
    <w:p>
      <w:pPr>
        <w:pStyle w:val="3"/>
        <w:spacing w:line="261" w:lineRule="auto"/>
        <w:ind w:left="106" w:right="259" w:firstLine="631"/>
        <w:jc w:val="both"/>
      </w:pPr>
      <w:r>
        <w:rPr>
          <w:rFonts w:hint="eastAsia" w:ascii="方正黑体_GBK" w:eastAsia="方正黑体_GBK"/>
          <w:spacing w:val="16"/>
        </w:rPr>
        <w:t xml:space="preserve">第十二条 </w:t>
      </w:r>
      <w:r>
        <w:rPr>
          <w:spacing w:val="7"/>
        </w:rPr>
        <w:t>政府法制工作机构应当组织对报请立项的规章</w:t>
      </w:r>
      <w:r>
        <w:rPr>
          <w:spacing w:val="6"/>
          <w:w w:val="95"/>
        </w:rPr>
        <w:t xml:space="preserve">制定项目和征集的规章制定项目建议是否符合规定条件进行研 </w:t>
      </w:r>
      <w:r>
        <w:rPr>
          <w:spacing w:val="-11"/>
        </w:rPr>
        <w:t>究，并根据轻重缓急和草案成熟程度等情况，拟订年度规章制定</w:t>
      </w:r>
      <w:r>
        <w:rPr>
          <w:spacing w:val="-14"/>
          <w:w w:val="95"/>
        </w:rPr>
        <w:t xml:space="preserve">工作计划，必要时，可以组织评估论证。年度规章制定工作计划 </w:t>
      </w:r>
      <w:r>
        <w:rPr>
          <w:spacing w:val="-18"/>
        </w:rPr>
        <w:t>报市人民政府批准后执行，并向社会公布。市人民政府规章制定工作计划应当与自治区人民政府规章制定工作计划相协调。</w:t>
      </w:r>
    </w:p>
    <w:p>
      <w:pPr>
        <w:pStyle w:val="3"/>
        <w:spacing w:line="261" w:lineRule="auto"/>
        <w:ind w:left="106" w:right="259" w:firstLine="631"/>
        <w:jc w:val="both"/>
      </w:pPr>
      <w:r>
        <w:rPr>
          <w:rFonts w:hint="eastAsia" w:ascii="方正黑体_GBK" w:eastAsia="方正黑体_GBK"/>
        </w:rPr>
        <w:t xml:space="preserve">第十三条 </w:t>
      </w:r>
      <w:r>
        <w:t>规章制定的申报项目论证，主要围绕规章制定的</w:t>
      </w:r>
      <w:r>
        <w:rPr>
          <w:w w:val="95"/>
        </w:rPr>
        <w:t>必要性、规章内容的合法性、合理性、可行性开展。有下列情形</w:t>
      </w:r>
      <w:r>
        <w:t>之一的，不予立项</w:t>
      </w:r>
    </w:p>
    <w:p>
      <w:pPr>
        <w:pStyle w:val="3"/>
        <w:spacing w:before="46"/>
        <w:ind w:left="737"/>
        <w:rPr>
          <w:rFonts w:ascii="Times New Roman" w:eastAsia="Times New Roman"/>
        </w:rPr>
      </w:pPr>
      <w:r>
        <w:t>（一）拟规范的事项不属于规章立法权限的</w:t>
      </w:r>
      <w:r>
        <w:rPr>
          <w:rFonts w:ascii="Times New Roman" w:eastAsia="Times New Roman"/>
        </w:rPr>
        <w:t>;</w:t>
      </w:r>
    </w:p>
    <w:p>
      <w:pPr>
        <w:pStyle w:val="3"/>
        <w:spacing w:before="44" w:line="261" w:lineRule="auto"/>
        <w:ind w:left="106" w:right="262" w:firstLine="631"/>
        <w:rPr>
          <w:rFonts w:ascii="Times New Roman" w:eastAsia="Times New Roman"/>
        </w:rPr>
      </w:pPr>
      <w:r>
        <w:t>（二</w:t>
      </w:r>
      <w:r>
        <w:rPr>
          <w:spacing w:val="-34"/>
        </w:rPr>
        <w:t>）</w:t>
      </w:r>
      <w:r>
        <w:rPr>
          <w:spacing w:val="-8"/>
        </w:rPr>
        <w:t>法律、法规和部门规章已经有具体规定，无需制定规章的</w:t>
      </w:r>
      <w:r>
        <w:rPr>
          <w:rFonts w:ascii="Times New Roman" w:eastAsia="Times New Roman"/>
          <w:spacing w:val="-8"/>
        </w:rPr>
        <w:t>;</w:t>
      </w:r>
    </w:p>
    <w:p>
      <w:pPr>
        <w:pStyle w:val="3"/>
        <w:spacing w:line="261" w:lineRule="auto"/>
        <w:ind w:left="106" w:right="261" w:firstLine="631"/>
      </w:pPr>
      <w:r>
        <w:rPr>
          <w:w w:val="95"/>
        </w:rPr>
        <w:t>（三</w:t>
      </w:r>
      <w:r>
        <w:rPr>
          <w:spacing w:val="-51"/>
          <w:w w:val="95"/>
        </w:rPr>
        <w:t>）</w:t>
      </w:r>
      <w:r>
        <w:rPr>
          <w:spacing w:val="-5"/>
          <w:w w:val="95"/>
        </w:rPr>
        <w:t xml:space="preserve">拟确立的主要制度与法律、法规相抵触或者不符合国 </w:t>
      </w:r>
      <w:r>
        <w:rPr>
          <w:spacing w:val="-5"/>
        </w:rPr>
        <w:t>家有关方针政策的；</w:t>
      </w:r>
    </w:p>
    <w:p>
      <w:pPr>
        <w:pStyle w:val="3"/>
        <w:spacing w:line="513" w:lineRule="exact"/>
        <w:ind w:left="737"/>
      </w:pPr>
      <w:r>
        <w:t>（四）不符合本市经济社会发展实际情况和需要的</w:t>
      </w:r>
    </w:p>
    <w:p>
      <w:pPr>
        <w:pStyle w:val="3"/>
        <w:spacing w:before="40"/>
        <w:ind w:left="737"/>
      </w:pPr>
      <w:r>
        <w:t>（五）规章制定时机尚不成熟的</w:t>
      </w:r>
    </w:p>
    <w:p>
      <w:pPr>
        <w:pStyle w:val="3"/>
        <w:spacing w:before="47" w:line="261" w:lineRule="auto"/>
        <w:ind w:left="106" w:right="261" w:firstLine="631"/>
      </w:pPr>
      <w:r>
        <w:rPr>
          <w:w w:val="95"/>
        </w:rPr>
        <w:t>（六</w:t>
      </w:r>
      <w:r>
        <w:rPr>
          <w:spacing w:val="-51"/>
          <w:w w:val="95"/>
        </w:rPr>
        <w:t>）</w:t>
      </w:r>
      <w:r>
        <w:rPr>
          <w:spacing w:val="-6"/>
          <w:w w:val="95"/>
        </w:rPr>
        <w:t xml:space="preserve">存在行政管理需要，但能够通过制定行政规范性文件 </w:t>
      </w:r>
      <w:r>
        <w:rPr>
          <w:spacing w:val="-6"/>
        </w:rPr>
        <w:t>解决的；</w:t>
      </w:r>
    </w:p>
    <w:p>
      <w:pPr>
        <w:pStyle w:val="3"/>
        <w:spacing w:line="511" w:lineRule="exact"/>
        <w:ind w:left="737"/>
      </w:pPr>
      <w:r>
        <w:t>（七）其他不适宜制定规章的情形。</w:t>
      </w:r>
    </w:p>
    <w:p>
      <w:pPr>
        <w:pStyle w:val="3"/>
        <w:spacing w:before="47" w:line="261" w:lineRule="auto"/>
        <w:ind w:left="106" w:right="257" w:firstLine="631"/>
        <w:jc w:val="both"/>
      </w:pPr>
      <w:r>
        <w:rPr>
          <w:rFonts w:hint="eastAsia" w:ascii="方正黑体_GBK" w:eastAsia="方正黑体_GBK"/>
          <w:spacing w:val="8"/>
        </w:rPr>
        <w:t xml:space="preserve">第十四条 </w:t>
      </w:r>
      <w:r>
        <w:rPr>
          <w:spacing w:val="-7"/>
        </w:rPr>
        <w:t>对列入年度规章制定工作计划的项目，起草单位</w:t>
      </w:r>
      <w:r>
        <w:rPr>
          <w:spacing w:val="-13"/>
        </w:rPr>
        <w:t>应当制定工作方案，落实领导责任、工作人员、工作经费，明确</w:t>
      </w:r>
      <w:r>
        <w:rPr>
          <w:spacing w:val="-15"/>
        </w:rPr>
        <w:t>工作进度安排。政府法制机构应当及时跟踪了解年度规章制定工作计划执行情况，加强组织协调和督促指导，必要时，可以提前介入规章草案的起草工作。</w:t>
      </w:r>
    </w:p>
    <w:p>
      <w:pPr>
        <w:pStyle w:val="3"/>
        <w:spacing w:line="261" w:lineRule="auto"/>
        <w:ind w:left="106" w:right="259" w:firstLine="631"/>
        <w:jc w:val="both"/>
      </w:pPr>
      <w:r>
        <w:rPr>
          <w:rFonts w:hint="eastAsia" w:ascii="方正黑体_GBK" w:eastAsia="方正黑体_GBK"/>
          <w:spacing w:val="16"/>
        </w:rPr>
        <w:t xml:space="preserve">第十五条 </w:t>
      </w:r>
      <w:r>
        <w:rPr>
          <w:spacing w:val="7"/>
        </w:rPr>
        <w:t>年度规章制定工作计划执行中需要新增或者调</w:t>
      </w:r>
      <w:r>
        <w:rPr>
          <w:spacing w:val="-5"/>
        </w:rPr>
        <w:t>整规章项目的，应当按照本规定申报、研究论证，并经市人民政府批准。</w:t>
      </w:r>
    </w:p>
    <w:p>
      <w:pPr>
        <w:pStyle w:val="3"/>
        <w:spacing w:before="10"/>
      </w:pPr>
    </w:p>
    <w:p>
      <w:pPr>
        <w:pStyle w:val="3"/>
        <w:tabs>
          <w:tab w:val="left" w:pos="1281"/>
          <w:tab w:val="left" w:pos="1919"/>
        </w:tabs>
        <w:ind w:right="156"/>
        <w:jc w:val="center"/>
        <w:rPr>
          <w:rFonts w:hint="eastAsia" w:ascii="方正小标宋_GBK" w:eastAsia="方正小标宋_GBK"/>
        </w:rPr>
      </w:pPr>
      <w:r>
        <w:rPr>
          <w:rFonts w:hint="eastAsia" w:ascii="方正小标宋_GBK" w:eastAsia="方正小标宋_GBK"/>
        </w:rPr>
        <w:t>第三章</w:t>
      </w:r>
      <w:r>
        <w:rPr>
          <w:rFonts w:hint="eastAsia" w:ascii="方正小标宋_GBK" w:eastAsia="方正小标宋_GBK"/>
        </w:rPr>
        <w:tab/>
      </w:r>
      <w:r>
        <w:rPr>
          <w:rFonts w:hint="eastAsia" w:ascii="方正小标宋_GBK" w:eastAsia="方正小标宋_GBK"/>
        </w:rPr>
        <w:t>起草</w:t>
      </w:r>
    </w:p>
    <w:p>
      <w:pPr>
        <w:pStyle w:val="3"/>
        <w:rPr>
          <w:rFonts w:ascii="方正小标宋_GBK"/>
          <w:sz w:val="20"/>
        </w:rPr>
      </w:pPr>
    </w:p>
    <w:p>
      <w:pPr>
        <w:pStyle w:val="3"/>
        <w:spacing w:before="11"/>
        <w:rPr>
          <w:rFonts w:ascii="方正小标宋_GBK"/>
          <w:sz w:val="11"/>
        </w:rPr>
      </w:pPr>
    </w:p>
    <w:p>
      <w:pPr>
        <w:pStyle w:val="3"/>
        <w:spacing w:before="26" w:line="261" w:lineRule="auto"/>
        <w:ind w:left="106" w:right="148" w:firstLine="631"/>
        <w:jc w:val="both"/>
      </w:pPr>
      <w:r>
        <w:rPr>
          <w:rFonts w:hint="eastAsia" w:ascii="方正黑体_GBK" w:eastAsia="方正黑体_GBK"/>
          <w:spacing w:val="8"/>
        </w:rPr>
        <w:t xml:space="preserve">第十六条 </w:t>
      </w:r>
      <w:r>
        <w:rPr>
          <w:spacing w:val="-6"/>
        </w:rPr>
        <w:t>规章由市人民政府确定的部门具体负责起草；涉</w:t>
      </w:r>
      <w:r>
        <w:rPr>
          <w:spacing w:val="-13"/>
        </w:rPr>
        <w:t>及两个以上部门职能或者内容复杂的，可以确定由一个部门牵头</w:t>
      </w:r>
      <w:r>
        <w:rPr>
          <w:spacing w:val="-17"/>
        </w:rPr>
        <w:t xml:space="preserve">会同其他部门共同负责起草。政府法制机构应当对规章起草工作进行指导。涉及规范政府共同行为或者其他综合性较强的规章， </w:t>
      </w:r>
      <w:r>
        <w:rPr>
          <w:spacing w:val="-20"/>
        </w:rPr>
        <w:t>可以确定由政府法制机构组织起草，有关单位应当配合。专业性较强的规章委托第三方起草的，起草单位应当向受委托方提供相关资料，并协助受委托方开展必要的立法调研、论证等。</w:t>
      </w:r>
    </w:p>
    <w:p>
      <w:pPr>
        <w:pStyle w:val="3"/>
        <w:tabs>
          <w:tab w:val="left" w:pos="2388"/>
        </w:tabs>
        <w:spacing w:line="261" w:lineRule="auto"/>
        <w:ind w:left="106" w:right="100" w:firstLine="631"/>
      </w:pPr>
      <w:r>
        <w:rPr>
          <w:rFonts w:hint="eastAsia" w:ascii="方正黑体_GBK" w:hAnsi="方正黑体_GBK" w:eastAsia="方正黑体_GBK"/>
          <w:spacing w:val="9"/>
        </w:rPr>
        <w:t>第十七</w:t>
      </w:r>
      <w:r>
        <w:rPr>
          <w:rFonts w:hint="eastAsia" w:ascii="方正黑体_GBK" w:hAnsi="方正黑体_GBK" w:eastAsia="方正黑体_GBK"/>
        </w:rPr>
        <w:t>条</w:t>
      </w:r>
      <w:r>
        <w:rPr>
          <w:rFonts w:hint="eastAsia" w:ascii="方正黑体_GBK" w:hAnsi="方正黑体_GBK" w:eastAsia="方正黑体_GBK"/>
        </w:rPr>
        <w:tab/>
      </w:r>
      <w:r>
        <w:rPr>
          <w:spacing w:val="9"/>
        </w:rPr>
        <w:t>规章制定应当符</w:t>
      </w:r>
      <w:r>
        <w:rPr>
          <w:spacing w:val="7"/>
        </w:rPr>
        <w:t>合</w:t>
      </w:r>
      <w:r>
        <w:rPr>
          <w:spacing w:val="9"/>
        </w:rPr>
        <w:t>政府规章起草技术规范的</w:t>
      </w:r>
      <w:r>
        <w:t>要求</w:t>
      </w:r>
      <w:r>
        <w:rPr>
          <w:spacing w:val="-24"/>
        </w:rPr>
        <w:t>，</w:t>
      </w:r>
      <w:r>
        <w:t>体例规范</w:t>
      </w:r>
      <w:r>
        <w:rPr>
          <w:spacing w:val="-24"/>
        </w:rPr>
        <w:t>，</w:t>
      </w:r>
      <w:r>
        <w:t>逻辑严密</w:t>
      </w:r>
      <w:r>
        <w:rPr>
          <w:spacing w:val="-22"/>
        </w:rPr>
        <w:t>，</w:t>
      </w:r>
      <w:r>
        <w:t>条文明确具体</w:t>
      </w:r>
      <w:r>
        <w:rPr>
          <w:spacing w:val="-22"/>
        </w:rPr>
        <w:t>，</w:t>
      </w:r>
      <w:r>
        <w:t>用语准确简洁</w:t>
      </w:r>
      <w:r>
        <w:rPr>
          <w:spacing w:val="-24"/>
        </w:rPr>
        <w:t>，</w:t>
      </w:r>
      <w:r>
        <w:t>内容</w:t>
      </w:r>
      <w:r>
        <w:rPr>
          <w:spacing w:val="2"/>
          <w:w w:val="99"/>
        </w:rPr>
        <w:t>具有可操作性。规章的名称一般</w:t>
      </w:r>
      <w:r>
        <w:rPr>
          <w:spacing w:val="-2"/>
          <w:w w:val="99"/>
        </w:rPr>
        <w:t>为</w:t>
      </w:r>
      <w:r>
        <w:rPr>
          <w:spacing w:val="2"/>
          <w:w w:val="99"/>
        </w:rPr>
        <w:t>“规定</w:t>
      </w:r>
      <w:r>
        <w:rPr>
          <w:spacing w:val="-156"/>
          <w:w w:val="99"/>
        </w:rPr>
        <w:t>”</w:t>
      </w:r>
      <w:r>
        <w:rPr>
          <w:spacing w:val="2"/>
          <w:w w:val="99"/>
        </w:rPr>
        <w:t>“办法</w:t>
      </w:r>
      <w:r>
        <w:rPr>
          <w:spacing w:val="-159"/>
          <w:w w:val="99"/>
        </w:rPr>
        <w:t>”</w:t>
      </w:r>
      <w:r>
        <w:rPr>
          <w:spacing w:val="2"/>
          <w:w w:val="99"/>
        </w:rPr>
        <w:t>“实施细</w:t>
      </w:r>
      <w:r>
        <w:rPr>
          <w:spacing w:val="1"/>
          <w:w w:val="99"/>
        </w:rPr>
        <w:t>则</w:t>
      </w:r>
      <w:r>
        <w:rPr>
          <w:w w:val="99"/>
        </w:rPr>
        <w:t xml:space="preserve">” </w:t>
      </w:r>
      <w:r>
        <w:rPr>
          <w:spacing w:val="2"/>
          <w:w w:val="99"/>
        </w:rPr>
        <w:t>“实施办</w:t>
      </w:r>
      <w:r>
        <w:rPr>
          <w:spacing w:val="1"/>
          <w:w w:val="99"/>
        </w:rPr>
        <w:t>法</w:t>
      </w:r>
      <w:r>
        <w:rPr>
          <w:spacing w:val="2"/>
          <w:w w:val="99"/>
        </w:rPr>
        <w:t>”或者“暂行规</w:t>
      </w:r>
      <w:r>
        <w:rPr>
          <w:spacing w:val="1"/>
          <w:w w:val="99"/>
        </w:rPr>
        <w:t>定</w:t>
      </w:r>
      <w:r>
        <w:rPr>
          <w:spacing w:val="-156"/>
          <w:w w:val="99"/>
        </w:rPr>
        <w:t>”</w:t>
      </w:r>
      <w:r>
        <w:rPr>
          <w:spacing w:val="2"/>
          <w:w w:val="99"/>
        </w:rPr>
        <w:t>“暂行办</w:t>
      </w:r>
      <w:r>
        <w:rPr>
          <w:spacing w:val="1"/>
          <w:w w:val="99"/>
        </w:rPr>
        <w:t>法</w:t>
      </w:r>
      <w:r>
        <w:rPr>
          <w:spacing w:val="-159"/>
          <w:w w:val="99"/>
        </w:rPr>
        <w:t>”</w:t>
      </w:r>
      <w:r>
        <w:rPr>
          <w:spacing w:val="2"/>
          <w:w w:val="99"/>
        </w:rPr>
        <w:t>“试行规</w:t>
      </w:r>
      <w:r>
        <w:rPr>
          <w:spacing w:val="1"/>
          <w:w w:val="99"/>
        </w:rPr>
        <w:t>定</w:t>
      </w:r>
      <w:r>
        <w:rPr>
          <w:spacing w:val="-159"/>
          <w:w w:val="99"/>
        </w:rPr>
        <w:t>”</w:t>
      </w:r>
      <w:r>
        <w:rPr>
          <w:spacing w:val="5"/>
          <w:w w:val="99"/>
        </w:rPr>
        <w:t>“</w:t>
      </w:r>
      <w:r>
        <w:rPr>
          <w:spacing w:val="2"/>
          <w:w w:val="99"/>
        </w:rPr>
        <w:t>试</w:t>
      </w:r>
      <w:r>
        <w:rPr>
          <w:w w:val="99"/>
        </w:rPr>
        <w:t>行</w:t>
      </w:r>
      <w:r>
        <w:t>办法</w:t>
      </w:r>
      <w:r>
        <w:rPr>
          <w:spacing w:val="-159"/>
        </w:rPr>
        <w:t>”</w:t>
      </w:r>
      <w:r>
        <w:rPr>
          <w:spacing w:val="-24"/>
        </w:rPr>
        <w:t>。</w:t>
      </w:r>
      <w:r>
        <w:t>规章以条文形式表述</w:t>
      </w:r>
      <w:r>
        <w:rPr>
          <w:spacing w:val="-22"/>
        </w:rPr>
        <w:t>，</w:t>
      </w:r>
      <w:r>
        <w:t>每条可分为款</w:t>
      </w:r>
      <w:r>
        <w:rPr>
          <w:spacing w:val="-22"/>
        </w:rPr>
        <w:t>、</w:t>
      </w:r>
      <w:r>
        <w:t>项</w:t>
      </w:r>
      <w:r>
        <w:rPr>
          <w:spacing w:val="-24"/>
        </w:rPr>
        <w:t>、</w:t>
      </w:r>
      <w:r>
        <w:t>目</w:t>
      </w:r>
      <w:r>
        <w:rPr>
          <w:spacing w:val="-24"/>
        </w:rPr>
        <w:t>。</w:t>
      </w:r>
      <w:r>
        <w:t>必要时， 规章可以分章或者章、节</w:t>
      </w:r>
      <w:r>
        <w:rPr>
          <w:spacing w:val="-159"/>
        </w:rPr>
        <w:t>。</w:t>
      </w:r>
      <w:r>
        <w:t>”</w:t>
      </w:r>
    </w:p>
    <w:p>
      <w:pPr>
        <w:pStyle w:val="3"/>
        <w:spacing w:line="261" w:lineRule="auto"/>
        <w:ind w:left="106" w:right="260" w:firstLine="631"/>
        <w:jc w:val="both"/>
      </w:pPr>
      <w:r>
        <w:rPr>
          <w:rFonts w:hint="eastAsia" w:ascii="方正黑体_GBK" w:eastAsia="方正黑体_GBK"/>
          <w:spacing w:val="8"/>
        </w:rPr>
        <w:t xml:space="preserve">第十八条 </w:t>
      </w:r>
      <w:r>
        <w:rPr>
          <w:spacing w:val="-7"/>
        </w:rPr>
        <w:t>起草单位应当广泛听取有关机关、组织和公民的</w:t>
      </w:r>
      <w:r>
        <w:rPr>
          <w:spacing w:val="-11"/>
        </w:rPr>
        <w:t>意见。听取意见可以采取书面征求意见、座谈会、论证会、听证</w:t>
      </w:r>
      <w:r>
        <w:rPr>
          <w:spacing w:val="-15"/>
          <w:w w:val="95"/>
        </w:rPr>
        <w:t xml:space="preserve">会等多种形式。除依法需要保密的外，起草单位应当将规章草案  </w:t>
      </w:r>
      <w:r>
        <w:rPr>
          <w:spacing w:val="-18"/>
        </w:rPr>
        <w:t>及其说明向社会公开征求意见。向社会公开征求意见的期限一般</w:t>
      </w:r>
      <w:r>
        <w:rPr>
          <w:spacing w:val="-30"/>
        </w:rPr>
        <w:t xml:space="preserve">不少于 </w:t>
      </w:r>
      <w:r>
        <w:rPr>
          <w:rFonts w:ascii="Times New Roman" w:eastAsia="Times New Roman"/>
        </w:rPr>
        <w:t xml:space="preserve">30 </w:t>
      </w:r>
      <w:r>
        <w:t>日。</w:t>
      </w:r>
    </w:p>
    <w:p>
      <w:pPr>
        <w:pStyle w:val="3"/>
        <w:spacing w:line="261" w:lineRule="auto"/>
        <w:ind w:left="106" w:right="258" w:firstLine="631"/>
        <w:jc w:val="both"/>
      </w:pPr>
      <w:r>
        <w:rPr>
          <w:rFonts w:hint="eastAsia" w:ascii="方正黑体_GBK" w:eastAsia="方正黑体_GBK"/>
          <w:spacing w:val="8"/>
        </w:rPr>
        <w:t xml:space="preserve">第十九条 </w:t>
      </w:r>
      <w:r>
        <w:rPr>
          <w:spacing w:val="-6"/>
        </w:rPr>
        <w:t>起草的规章涉及重大利益调整或者重大法律、专</w:t>
      </w:r>
      <w:r>
        <w:rPr>
          <w:spacing w:val="-12"/>
          <w:w w:val="95"/>
        </w:rPr>
        <w:t xml:space="preserve">业技术等问题的，应当组织有关机关、人民团体、专家学者、基 </w:t>
      </w:r>
      <w:r>
        <w:rPr>
          <w:spacing w:val="-14"/>
        </w:rPr>
        <w:t>层工作者、行业协会、商会等方面的代表进行论证；有较大争议</w:t>
      </w:r>
      <w:r>
        <w:rPr>
          <w:spacing w:val="-13"/>
        </w:rPr>
        <w:t>的，可以委托有关专家、教学科研单位、社会组织就争议事项开</w:t>
      </w:r>
      <w:r>
        <w:t>展评估。</w:t>
      </w:r>
    </w:p>
    <w:p>
      <w:pPr>
        <w:pStyle w:val="3"/>
        <w:tabs>
          <w:tab w:val="left" w:pos="2388"/>
        </w:tabs>
        <w:spacing w:before="46" w:line="261" w:lineRule="auto"/>
        <w:ind w:left="106" w:right="100" w:firstLine="631"/>
      </w:pPr>
      <w:r>
        <w:rPr>
          <w:rFonts w:hint="eastAsia" w:ascii="方正黑体_GBK" w:eastAsia="方正黑体_GBK"/>
          <w:spacing w:val="9"/>
        </w:rPr>
        <w:t>第二十</w:t>
      </w:r>
      <w:r>
        <w:rPr>
          <w:rFonts w:hint="eastAsia" w:ascii="方正黑体_GBK" w:eastAsia="方正黑体_GBK"/>
        </w:rPr>
        <w:t>条</w:t>
      </w:r>
      <w:r>
        <w:rPr>
          <w:rFonts w:hint="eastAsia" w:ascii="方正黑体_GBK" w:eastAsia="方正黑体_GBK"/>
        </w:rPr>
        <w:tab/>
      </w:r>
      <w:r>
        <w:rPr>
          <w:spacing w:val="9"/>
        </w:rPr>
        <w:t>起草的规章涉及</w:t>
      </w:r>
      <w:r>
        <w:rPr>
          <w:spacing w:val="7"/>
        </w:rPr>
        <w:t>重</w:t>
      </w:r>
      <w:r>
        <w:rPr>
          <w:spacing w:val="9"/>
        </w:rPr>
        <w:t>大利益调整或者存在重大</w:t>
      </w:r>
      <w:r>
        <w:t>意见分歧</w:t>
      </w:r>
      <w:r>
        <w:rPr>
          <w:spacing w:val="-36"/>
        </w:rPr>
        <w:t>，</w:t>
      </w:r>
      <w:r>
        <w:t>对公民</w:t>
      </w:r>
      <w:r>
        <w:rPr>
          <w:spacing w:val="-39"/>
        </w:rPr>
        <w:t>、</w:t>
      </w:r>
      <w:r>
        <w:t>法人或者其他组织的权利义务有较大影</w:t>
      </w:r>
      <w:r>
        <w:rPr>
          <w:spacing w:val="-3"/>
        </w:rPr>
        <w:t>响</w:t>
      </w:r>
      <w:r>
        <w:rPr>
          <w:spacing w:val="-36"/>
        </w:rPr>
        <w:t>，</w:t>
      </w:r>
      <w:r>
        <w:t>人民群众普遍关注</w:t>
      </w:r>
      <w:r>
        <w:rPr>
          <w:spacing w:val="-58"/>
        </w:rPr>
        <w:t>，</w:t>
      </w:r>
      <w:r>
        <w:t>需要进行听证的</w:t>
      </w:r>
      <w:r>
        <w:rPr>
          <w:spacing w:val="-55"/>
        </w:rPr>
        <w:t>，</w:t>
      </w:r>
      <w:r>
        <w:t>起草单位应当举行听证会听取意见</w:t>
      </w:r>
      <w:r>
        <w:rPr>
          <w:spacing w:val="-55"/>
        </w:rPr>
        <w:t>。</w:t>
      </w:r>
      <w:r>
        <w:t>起草单位应当按照广泛性和代表性相结合的原</w:t>
      </w:r>
      <w:r>
        <w:rPr>
          <w:spacing w:val="-4"/>
        </w:rPr>
        <w:t>则</w:t>
      </w:r>
      <w:r>
        <w:rPr>
          <w:spacing w:val="-58"/>
        </w:rPr>
        <w:t>，</w:t>
      </w:r>
      <w:r>
        <w:t>根据实际情况</w:t>
      </w:r>
      <w:r>
        <w:rPr>
          <w:spacing w:val="-70"/>
        </w:rPr>
        <w:t>，</w:t>
      </w:r>
      <w:r>
        <w:t>开展立法协商</w:t>
      </w:r>
      <w:r>
        <w:rPr>
          <w:spacing w:val="-70"/>
        </w:rPr>
        <w:t>、</w:t>
      </w:r>
      <w:r>
        <w:t>专家论证</w:t>
      </w:r>
      <w:r>
        <w:rPr>
          <w:spacing w:val="-70"/>
        </w:rPr>
        <w:t>，</w:t>
      </w:r>
      <w:r>
        <w:t>听取人大代表</w:t>
      </w:r>
      <w:r>
        <w:rPr>
          <w:spacing w:val="-70"/>
        </w:rPr>
        <w:t>、</w:t>
      </w:r>
      <w:r>
        <w:t>政协委员、工商联</w:t>
      </w:r>
      <w:r>
        <w:rPr>
          <w:spacing w:val="-29"/>
        </w:rPr>
        <w:t>、</w:t>
      </w:r>
      <w:r>
        <w:t>无党派人</w:t>
      </w:r>
      <w:r>
        <w:rPr>
          <w:spacing w:val="4"/>
        </w:rPr>
        <w:t>士</w:t>
      </w:r>
      <w:r>
        <w:rPr>
          <w:spacing w:val="-29"/>
        </w:rPr>
        <w:t>、</w:t>
      </w:r>
      <w:r>
        <w:t>人民团体</w:t>
      </w:r>
      <w:r>
        <w:rPr>
          <w:spacing w:val="-29"/>
        </w:rPr>
        <w:t>、</w:t>
      </w:r>
      <w:r>
        <w:t>社会组织的意见和建议</w:t>
      </w:r>
      <w:r>
        <w:rPr>
          <w:spacing w:val="-29"/>
        </w:rPr>
        <w:t>。</w:t>
      </w:r>
      <w:r>
        <w:t>听证会可以采取小型化、连续召开的方式进行，重点针对核心制</w:t>
      </w:r>
      <w:r>
        <w:rPr>
          <w:spacing w:val="-5"/>
        </w:rPr>
        <w:t>度</w:t>
      </w:r>
      <w:r>
        <w:t>、核心条款听取意见。起草单位应当根据听证笔录制作听证报</w:t>
      </w:r>
      <w:r>
        <w:rPr>
          <w:spacing w:val="-5"/>
        </w:rPr>
        <w:t>告</w:t>
      </w:r>
      <w:r>
        <w:t>， 载明听证会的基本情况</w:t>
      </w:r>
      <w:r>
        <w:rPr>
          <w:spacing w:val="-58"/>
        </w:rPr>
        <w:t>，</w:t>
      </w:r>
      <w:r>
        <w:t>归纳整理听证会意见</w:t>
      </w:r>
      <w:r>
        <w:rPr>
          <w:spacing w:val="-55"/>
        </w:rPr>
        <w:t>，</w:t>
      </w:r>
      <w:r>
        <w:t>逐条阐述对意见的吸纳处理情况及其理由。</w:t>
      </w:r>
    </w:p>
    <w:p>
      <w:pPr>
        <w:pStyle w:val="3"/>
        <w:tabs>
          <w:tab w:val="left" w:pos="2717"/>
        </w:tabs>
        <w:spacing w:line="501" w:lineRule="exact"/>
        <w:ind w:left="737"/>
      </w:pPr>
      <w:r>
        <w:rPr>
          <w:rFonts w:hint="eastAsia" w:ascii="方正黑体_GBK" w:eastAsia="方正黑体_GBK"/>
          <w:spacing w:val="9"/>
        </w:rPr>
        <w:t>第二十一</w:t>
      </w:r>
      <w:r>
        <w:rPr>
          <w:rFonts w:hint="eastAsia" w:ascii="方正黑体_GBK" w:eastAsia="方正黑体_GBK"/>
        </w:rPr>
        <w:t>条</w:t>
      </w:r>
      <w:r>
        <w:rPr>
          <w:rFonts w:hint="eastAsia" w:ascii="方正黑体_GBK" w:eastAsia="方正黑体_GBK"/>
        </w:rPr>
        <w:tab/>
      </w:r>
      <w:r>
        <w:rPr>
          <w:spacing w:val="9"/>
        </w:rPr>
        <w:t>起草的规章涉及</w:t>
      </w:r>
      <w:r>
        <w:rPr>
          <w:spacing w:val="7"/>
        </w:rPr>
        <w:t>其</w:t>
      </w:r>
      <w:r>
        <w:rPr>
          <w:spacing w:val="9"/>
        </w:rPr>
        <w:t>他部门的职责或者与其</w:t>
      </w:r>
      <w:r>
        <w:t>他</w:t>
      </w:r>
    </w:p>
    <w:p>
      <w:pPr>
        <w:pStyle w:val="3"/>
        <w:spacing w:before="44" w:line="261" w:lineRule="auto"/>
        <w:ind w:left="106" w:right="259"/>
        <w:jc w:val="both"/>
      </w:pPr>
      <w:r>
        <w:rPr>
          <w:spacing w:val="-10"/>
        </w:rPr>
        <w:t>部门关系紧密的，起草单位应当充分征求其他部门的意见。起草</w:t>
      </w:r>
      <w:r>
        <w:rPr>
          <w:spacing w:val="-16"/>
        </w:rPr>
        <w:t>单位与其他部门有不同意见的，应当充分协商；经过充分协商不能取得一致意见的，起草单位应当在上报规章草案送审稿</w:t>
      </w:r>
      <w:r>
        <w:t>（以下简称规章送审稿）时说明情况和理由。</w:t>
      </w:r>
    </w:p>
    <w:p>
      <w:pPr>
        <w:pStyle w:val="3"/>
        <w:spacing w:line="261" w:lineRule="auto"/>
        <w:ind w:left="106" w:right="259" w:firstLine="631"/>
        <w:jc w:val="both"/>
      </w:pPr>
      <w:r>
        <w:rPr>
          <w:rFonts w:hint="eastAsia" w:ascii="方正黑体_GBK" w:eastAsia="方正黑体_GBK"/>
          <w:spacing w:val="7"/>
        </w:rPr>
        <w:t xml:space="preserve">第二十二条 </w:t>
      </w:r>
      <w:r>
        <w:rPr>
          <w:spacing w:val="-10"/>
        </w:rPr>
        <w:t>起草的规章涉及公民、法人或者其他组织切身</w:t>
      </w:r>
      <w:r>
        <w:rPr>
          <w:spacing w:val="-15"/>
        </w:rPr>
        <w:t>利益的重大改革或者重大行政措施等需要自治区、市人民政府决</w:t>
      </w:r>
      <w:r>
        <w:rPr>
          <w:spacing w:val="-14"/>
        </w:rPr>
        <w:t>策的事项的，起草单位应当依法开展社会稳定风险评估，提出解决方案，先行报自治区、市人民政府决定。</w:t>
      </w:r>
    </w:p>
    <w:p>
      <w:pPr>
        <w:pStyle w:val="3"/>
        <w:spacing w:line="261" w:lineRule="auto"/>
        <w:ind w:left="106" w:right="260" w:firstLine="631"/>
        <w:jc w:val="both"/>
      </w:pPr>
      <w:r>
        <w:rPr>
          <w:rFonts w:hint="eastAsia" w:ascii="方正黑体_GBK" w:eastAsia="方正黑体_GBK"/>
          <w:spacing w:val="7"/>
        </w:rPr>
        <w:t xml:space="preserve">第二十三条 </w:t>
      </w:r>
      <w:r>
        <w:rPr>
          <w:spacing w:val="-5"/>
        </w:rPr>
        <w:t xml:space="preserve">起草单位应当在计划审议时间的 </w:t>
      </w:r>
      <w:r>
        <w:rPr>
          <w:rFonts w:ascii="Times New Roman" w:eastAsia="Times New Roman"/>
        </w:rPr>
        <w:t xml:space="preserve">6 </w:t>
      </w:r>
      <w:r>
        <w:rPr>
          <w:spacing w:val="-21"/>
        </w:rPr>
        <w:t>个月前，向</w:t>
      </w:r>
      <w:r>
        <w:rPr>
          <w:spacing w:val="-22"/>
        </w:rPr>
        <w:t>市人民政府报送规章送审稿及其说明、立法依据对照表、对规章</w:t>
      </w:r>
      <w:r>
        <w:rPr>
          <w:spacing w:val="-7"/>
        </w:rPr>
        <w:t>送审稿主要问题的不同意见和下列其他有关材料，一并抄送政府法制机构</w:t>
      </w:r>
    </w:p>
    <w:p>
      <w:pPr>
        <w:pStyle w:val="3"/>
        <w:spacing w:line="513" w:lineRule="exact"/>
        <w:ind w:left="737"/>
      </w:pPr>
      <w:r>
        <w:t>（一）法律、法规依据以及国内外有关立法资料</w:t>
      </w:r>
    </w:p>
    <w:p>
      <w:pPr>
        <w:pStyle w:val="3"/>
        <w:spacing w:before="44" w:line="261" w:lineRule="auto"/>
        <w:ind w:left="106" w:right="259" w:firstLine="631"/>
      </w:pPr>
      <w:r>
        <w:t>（二</w:t>
      </w:r>
      <w:r>
        <w:rPr>
          <w:spacing w:val="-51"/>
        </w:rPr>
        <w:t>）</w:t>
      </w:r>
      <w:r>
        <w:rPr>
          <w:spacing w:val="-5"/>
        </w:rPr>
        <w:t>所规范领域的实际情况和相关数据，实践中存在的主要问题，调研报告；</w:t>
      </w:r>
    </w:p>
    <w:p>
      <w:pPr>
        <w:pStyle w:val="3"/>
        <w:spacing w:line="513" w:lineRule="exact"/>
        <w:ind w:left="737"/>
      </w:pPr>
      <w:r>
        <w:t>（三）征求意见汇总材料；</w:t>
      </w:r>
    </w:p>
    <w:p>
      <w:pPr>
        <w:pStyle w:val="3"/>
        <w:spacing w:before="44"/>
        <w:ind w:left="737"/>
      </w:pPr>
      <w:r>
        <w:t>（四）咨询意见，论证、评估报告</w:t>
      </w:r>
    </w:p>
    <w:p>
      <w:pPr>
        <w:pStyle w:val="3"/>
        <w:spacing w:before="44"/>
        <w:ind w:left="737"/>
      </w:pPr>
      <w:r>
        <w:t>（五）听证会笔录、听证报告；</w:t>
      </w:r>
    </w:p>
    <w:p>
      <w:pPr>
        <w:pStyle w:val="3"/>
        <w:spacing w:before="47"/>
        <w:ind w:left="737"/>
      </w:pPr>
      <w:r>
        <w:t>（六）法律、法规规定的其他材料。</w:t>
      </w:r>
    </w:p>
    <w:p>
      <w:pPr>
        <w:pStyle w:val="3"/>
        <w:spacing w:before="44" w:line="261" w:lineRule="auto"/>
        <w:ind w:left="106" w:right="260" w:firstLine="631"/>
      </w:pPr>
      <w:r>
        <w:rPr>
          <w:spacing w:val="-7"/>
        </w:rPr>
        <w:t>因特殊情况不能按时完成起草和报送工作的，起草单位应当向市人民政府提交书面报告说明情况，并抄送政府法制机构。</w:t>
      </w:r>
    </w:p>
    <w:p>
      <w:pPr>
        <w:pStyle w:val="3"/>
        <w:spacing w:line="261" w:lineRule="auto"/>
        <w:ind w:left="106" w:right="148" w:firstLine="631"/>
        <w:jc w:val="both"/>
      </w:pPr>
      <w:r>
        <w:rPr>
          <w:rFonts w:hint="eastAsia" w:ascii="方正黑体_GBK" w:eastAsia="方正黑体_GBK"/>
          <w:spacing w:val="7"/>
        </w:rPr>
        <w:t xml:space="preserve">第二十四条 </w:t>
      </w:r>
      <w:r>
        <w:rPr>
          <w:spacing w:val="-7"/>
        </w:rPr>
        <w:t xml:space="preserve">起草单位报送审查的规章送审稿，应当经起草单位承担法制工作的机构审核、起草单位领导集体讨论通过后， </w:t>
      </w:r>
      <w:r>
        <w:rPr>
          <w:spacing w:val="-14"/>
        </w:rPr>
        <w:t>由起草单位主要负责人签署；共同起草的，由各起草单位主要负责人共同签署。规章送审稿的说明应当对制定规章的必要性、规定的主要措施、有关方面的意见及其协调处理情况等作出说明。</w:t>
      </w:r>
    </w:p>
    <w:p>
      <w:pPr>
        <w:pStyle w:val="3"/>
        <w:spacing w:before="13"/>
      </w:pPr>
    </w:p>
    <w:p>
      <w:pPr>
        <w:pStyle w:val="3"/>
        <w:tabs>
          <w:tab w:val="left" w:pos="1281"/>
          <w:tab w:val="left" w:pos="1919"/>
        </w:tabs>
        <w:ind w:right="156"/>
        <w:jc w:val="center"/>
        <w:rPr>
          <w:rFonts w:hint="eastAsia" w:ascii="方正小标宋_GBK" w:eastAsia="方正小标宋_GBK"/>
        </w:rPr>
      </w:pPr>
      <w:r>
        <w:rPr>
          <w:rFonts w:hint="eastAsia" w:ascii="方正小标宋_GBK" w:eastAsia="方正小标宋_GBK"/>
        </w:rPr>
        <w:t>第四章</w:t>
      </w:r>
      <w:r>
        <w:rPr>
          <w:rFonts w:hint="eastAsia" w:ascii="方正小标宋_GBK" w:eastAsia="方正小标宋_GBK"/>
        </w:rPr>
        <w:tab/>
      </w:r>
      <w:r>
        <w:rPr>
          <w:rFonts w:hint="eastAsia" w:ascii="方正小标宋_GBK" w:eastAsia="方正小标宋_GBK"/>
        </w:rPr>
        <w:t>审</w:t>
      </w:r>
      <w:r>
        <w:rPr>
          <w:rFonts w:hint="eastAsia" w:ascii="方正小标宋_GBK" w:eastAsia="方正小标宋_GBK"/>
        </w:rPr>
        <w:tab/>
      </w:r>
      <w:r>
        <w:rPr>
          <w:rFonts w:hint="eastAsia" w:ascii="方正小标宋_GBK" w:eastAsia="方正小标宋_GBK"/>
        </w:rPr>
        <w:t>查</w:t>
      </w:r>
    </w:p>
    <w:p>
      <w:pPr>
        <w:pStyle w:val="3"/>
        <w:spacing w:before="11"/>
        <w:rPr>
          <w:rFonts w:ascii="方正小标宋_GBK"/>
        </w:rPr>
      </w:pPr>
    </w:p>
    <w:p>
      <w:pPr>
        <w:pStyle w:val="3"/>
        <w:spacing w:before="1" w:line="261" w:lineRule="auto"/>
        <w:ind w:left="106" w:right="259" w:firstLine="631"/>
        <w:jc w:val="both"/>
        <w:rPr>
          <w:sz w:val="20"/>
        </w:rPr>
      </w:pPr>
      <w:r>
        <w:rPr>
          <w:rFonts w:hint="eastAsia" w:ascii="方正黑体_GBK" w:eastAsia="方正黑体_GBK"/>
          <w:spacing w:val="15"/>
        </w:rPr>
        <w:t xml:space="preserve">第二十五条 </w:t>
      </w:r>
      <w:r>
        <w:rPr>
          <w:spacing w:val="7"/>
        </w:rPr>
        <w:t>政府法制机构应当对起草单位报送的材料是</w:t>
      </w:r>
      <w:r>
        <w:rPr>
          <w:spacing w:val="-5"/>
        </w:rPr>
        <w:t>否齐全进行审查。材料不全或者不符合规定要求的，可以要求起</w:t>
      </w:r>
      <w:r>
        <w:rPr>
          <w:spacing w:val="-17"/>
        </w:rPr>
        <w:t xml:space="preserve">草单位在 </w:t>
      </w:r>
      <w:r>
        <w:rPr>
          <w:rFonts w:ascii="Times New Roman" w:eastAsia="Times New Roman"/>
        </w:rPr>
        <w:t xml:space="preserve">15 </w:t>
      </w:r>
      <w:r>
        <w:t>日内补正。</w:t>
      </w:r>
    </w:p>
    <w:p>
      <w:pPr>
        <w:pStyle w:val="3"/>
        <w:spacing w:before="12"/>
        <w:rPr>
          <w:sz w:val="14"/>
        </w:rPr>
      </w:pPr>
    </w:p>
    <w:p>
      <w:pPr>
        <w:pStyle w:val="3"/>
        <w:tabs>
          <w:tab w:val="left" w:pos="2717"/>
        </w:tabs>
        <w:spacing w:before="27" w:line="261" w:lineRule="auto"/>
        <w:ind w:left="106" w:right="259" w:firstLine="631"/>
      </w:pPr>
      <w:r>
        <w:rPr>
          <w:rFonts w:hint="eastAsia" w:ascii="方正黑体_GBK" w:eastAsia="方正黑体_GBK"/>
          <w:spacing w:val="9"/>
        </w:rPr>
        <w:t>第二十六</w:t>
      </w:r>
      <w:r>
        <w:rPr>
          <w:rFonts w:hint="eastAsia" w:ascii="方正黑体_GBK" w:eastAsia="方正黑体_GBK"/>
        </w:rPr>
        <w:t>条</w:t>
      </w:r>
      <w:r>
        <w:rPr>
          <w:rFonts w:hint="eastAsia" w:ascii="方正黑体_GBK" w:eastAsia="方正黑体_GBK"/>
        </w:rPr>
        <w:tab/>
      </w:r>
      <w:r>
        <w:rPr>
          <w:spacing w:val="9"/>
          <w:w w:val="95"/>
        </w:rPr>
        <w:t>政府法制机构主</w:t>
      </w:r>
      <w:r>
        <w:rPr>
          <w:spacing w:val="7"/>
          <w:w w:val="95"/>
        </w:rPr>
        <w:t>要</w:t>
      </w:r>
      <w:r>
        <w:rPr>
          <w:spacing w:val="9"/>
          <w:w w:val="95"/>
        </w:rPr>
        <w:t>从以下方面对规章送审</w:t>
      </w:r>
      <w:r>
        <w:rPr>
          <w:w w:val="95"/>
        </w:rPr>
        <w:t>稿</w:t>
      </w:r>
      <w:r>
        <w:t>进行审查</w:t>
      </w:r>
    </w:p>
    <w:p>
      <w:pPr>
        <w:pStyle w:val="3"/>
        <w:spacing w:line="513" w:lineRule="exact"/>
        <w:ind w:left="737"/>
      </w:pPr>
      <w:r>
        <w:t>（一）是否符合本规定第三条、第四条的规定</w:t>
      </w:r>
    </w:p>
    <w:p>
      <w:pPr>
        <w:pStyle w:val="3"/>
        <w:spacing w:before="44"/>
        <w:ind w:left="737"/>
      </w:pPr>
      <w:r>
        <w:t>（二）是否符合社会主义核心价值观的要求</w:t>
      </w:r>
    </w:p>
    <w:p>
      <w:pPr>
        <w:pStyle w:val="3"/>
        <w:spacing w:before="44"/>
        <w:ind w:left="737"/>
      </w:pPr>
      <w:r>
        <w:t>（三）是否与有关规章协调、衔接</w:t>
      </w:r>
    </w:p>
    <w:p>
      <w:pPr>
        <w:pStyle w:val="3"/>
        <w:spacing w:before="47"/>
        <w:ind w:left="737"/>
      </w:pPr>
      <w:r>
        <w:t>（四）拟确立的制度和措施是否必要、可行</w:t>
      </w:r>
    </w:p>
    <w:p>
      <w:pPr>
        <w:pStyle w:val="3"/>
        <w:spacing w:before="44" w:line="261" w:lineRule="auto"/>
        <w:ind w:left="106" w:right="259" w:firstLine="631"/>
      </w:pPr>
      <w:r>
        <w:rPr>
          <w:w w:val="95"/>
        </w:rPr>
        <w:t>（五</w:t>
      </w:r>
      <w:r>
        <w:rPr>
          <w:spacing w:val="-51"/>
          <w:w w:val="95"/>
        </w:rPr>
        <w:t>）</w:t>
      </w:r>
      <w:r>
        <w:rPr>
          <w:spacing w:val="-5"/>
          <w:w w:val="95"/>
        </w:rPr>
        <w:t xml:space="preserve">是否正确处理有关机关、组织和公民对规章送审稿主 </w:t>
      </w:r>
      <w:r>
        <w:rPr>
          <w:spacing w:val="-5"/>
        </w:rPr>
        <w:t>要问题的意见；</w:t>
      </w:r>
    </w:p>
    <w:p>
      <w:pPr>
        <w:pStyle w:val="3"/>
        <w:spacing w:line="513" w:lineRule="exact"/>
        <w:ind w:left="737"/>
      </w:pPr>
      <w:r>
        <w:t>（六）是否符合立法技术要求；</w:t>
      </w:r>
    </w:p>
    <w:p>
      <w:pPr>
        <w:pStyle w:val="3"/>
        <w:spacing w:before="44"/>
        <w:ind w:left="737"/>
      </w:pPr>
      <w:r>
        <w:t>（七）依法需要审查的其他内容。</w:t>
      </w:r>
    </w:p>
    <w:p>
      <w:pPr>
        <w:pStyle w:val="3"/>
        <w:spacing w:before="44" w:line="261" w:lineRule="auto"/>
        <w:ind w:left="106" w:right="260" w:firstLine="631"/>
      </w:pPr>
      <w:r>
        <w:rPr>
          <w:spacing w:val="-7"/>
          <w:w w:val="95"/>
        </w:rPr>
        <w:t xml:space="preserve">起草单位应当配合开展调查研究，参与修改，并负责说明情 </w:t>
      </w:r>
      <w:r>
        <w:rPr>
          <w:spacing w:val="-7"/>
        </w:rPr>
        <w:t>况。</w:t>
      </w:r>
    </w:p>
    <w:p>
      <w:pPr>
        <w:pStyle w:val="3"/>
        <w:tabs>
          <w:tab w:val="left" w:pos="2657"/>
        </w:tabs>
        <w:spacing w:line="261" w:lineRule="auto"/>
        <w:ind w:left="106" w:right="260" w:firstLine="631"/>
      </w:pPr>
      <w:r>
        <w:rPr>
          <w:rFonts w:hint="eastAsia" w:ascii="方正黑体_GBK" w:eastAsia="方正黑体_GBK"/>
        </w:rPr>
        <w:t>第二十七条</w:t>
      </w:r>
      <w:r>
        <w:rPr>
          <w:rFonts w:hint="eastAsia" w:ascii="方正黑体_GBK" w:eastAsia="方正黑体_GBK"/>
        </w:rPr>
        <w:tab/>
      </w:r>
      <w:r>
        <w:t>规章送审稿有下列情形之一的</w:t>
      </w:r>
      <w:r>
        <w:rPr>
          <w:spacing w:val="-103"/>
        </w:rPr>
        <w:t>，</w:t>
      </w:r>
      <w:r>
        <w:t>政府法制机构可以缓办或者退回起草单位</w:t>
      </w:r>
    </w:p>
    <w:p>
      <w:pPr>
        <w:pStyle w:val="3"/>
        <w:spacing w:line="261" w:lineRule="auto"/>
        <w:ind w:left="106" w:right="259" w:firstLine="631"/>
      </w:pPr>
      <w:r>
        <w:t>（一</w:t>
      </w:r>
      <w:r>
        <w:rPr>
          <w:spacing w:val="-103"/>
        </w:rPr>
        <w:t>）</w:t>
      </w:r>
      <w:r>
        <w:t>有关机构或者部门对规章送审稿规定的主要制度存在较大争议，起草单位未与有关机构或者部门充分协商的</w:t>
      </w:r>
    </w:p>
    <w:p>
      <w:pPr>
        <w:pStyle w:val="3"/>
        <w:spacing w:line="261" w:lineRule="auto"/>
        <w:ind w:left="106" w:right="261" w:firstLine="631"/>
      </w:pPr>
      <w:r>
        <w:rPr>
          <w:w w:val="95"/>
        </w:rPr>
        <w:t>（二</w:t>
      </w:r>
      <w:r>
        <w:rPr>
          <w:spacing w:val="-51"/>
          <w:w w:val="95"/>
        </w:rPr>
        <w:t>）</w:t>
      </w:r>
      <w:r>
        <w:rPr>
          <w:spacing w:val="-5"/>
          <w:w w:val="95"/>
        </w:rPr>
        <w:t xml:space="preserve">未按照规定公开征求意见，依法应当举行而未举行立 </w:t>
      </w:r>
      <w:r>
        <w:rPr>
          <w:spacing w:val="-5"/>
        </w:rPr>
        <w:t>法听证会的；</w:t>
      </w:r>
    </w:p>
    <w:p>
      <w:pPr>
        <w:pStyle w:val="3"/>
        <w:spacing w:line="261" w:lineRule="auto"/>
        <w:ind w:left="106" w:right="260" w:firstLine="631"/>
      </w:pPr>
      <w:r>
        <w:t>（三</w:t>
      </w:r>
      <w:r>
        <w:rPr>
          <w:spacing w:val="-51"/>
        </w:rPr>
        <w:t>）</w:t>
      </w:r>
      <w:r>
        <w:rPr>
          <w:spacing w:val="-4"/>
        </w:rPr>
        <w:t>上报规章送审稿不符合报送材料要求，未按规定补正的；</w:t>
      </w:r>
    </w:p>
    <w:p>
      <w:pPr>
        <w:pStyle w:val="3"/>
        <w:spacing w:line="513" w:lineRule="exact"/>
        <w:ind w:left="737"/>
      </w:pPr>
      <w:r>
        <w:t>（四）不宜继续审查的其他情形。</w:t>
      </w:r>
    </w:p>
    <w:p>
      <w:pPr>
        <w:pStyle w:val="3"/>
        <w:spacing w:before="35"/>
        <w:ind w:firstLine="640" w:firstLineChars="200"/>
      </w:pPr>
      <w:r>
        <w:t>政府法制机构对规章送审稿决定缓办或者退回起草单位的应当书面告知起草单位并说明理由。</w:t>
      </w:r>
    </w:p>
    <w:p>
      <w:pPr>
        <w:pStyle w:val="3"/>
        <w:spacing w:before="46" w:line="261" w:lineRule="auto"/>
        <w:ind w:left="106" w:right="148" w:firstLine="631"/>
        <w:jc w:val="both"/>
      </w:pPr>
      <w:r>
        <w:rPr>
          <w:rFonts w:hint="eastAsia" w:ascii="方正黑体_GBK" w:eastAsia="方正黑体_GBK"/>
        </w:rPr>
        <w:t xml:space="preserve">第二十八条 </w:t>
      </w:r>
      <w:r>
        <w:t xml:space="preserve">政府法制机构应当将规章送审稿或者规章送审稿涉及的主要问题发送有关部门、县区人民政府、相关组织、专家学者等各有关方面征求意见。有关部门、县区人民政府应当在规定期限内反馈书面意见，并加盖本单位印章。政府法制机构可以将规章送审稿或者修改稿及其说明等向社会公布，征求意见。向社会公布征求意见的期限一般不少于 </w:t>
      </w:r>
      <w:r>
        <w:rPr>
          <w:rFonts w:ascii="Times New Roman" w:eastAsia="Times New Roman"/>
        </w:rPr>
        <w:t xml:space="preserve">30 </w:t>
      </w:r>
      <w:r>
        <w:t>日。</w:t>
      </w:r>
    </w:p>
    <w:p>
      <w:pPr>
        <w:pStyle w:val="3"/>
        <w:spacing w:line="261" w:lineRule="auto"/>
        <w:ind w:left="106" w:right="257" w:firstLine="631"/>
        <w:jc w:val="both"/>
      </w:pPr>
      <w:r>
        <w:rPr>
          <w:rFonts w:hint="eastAsia" w:ascii="方正黑体_GBK" w:eastAsia="方正黑体_GBK"/>
          <w:spacing w:val="15"/>
        </w:rPr>
        <w:t xml:space="preserve">第二十九条 </w:t>
      </w:r>
      <w:r>
        <w:rPr>
          <w:spacing w:val="7"/>
        </w:rPr>
        <w:t>政府法制机构应当就规章送审稿涉及的主要</w:t>
      </w:r>
      <w:r>
        <w:rPr>
          <w:spacing w:val="-9"/>
        </w:rPr>
        <w:t>问题，深入基层进行实地调查研究，听取基层有关机关、组织和</w:t>
      </w:r>
      <w:r>
        <w:rPr>
          <w:spacing w:val="-14"/>
        </w:rPr>
        <w:t>公民的意见。政府法制机构可以通过立法基层联系点收集基层意见和建议。</w:t>
      </w:r>
    </w:p>
    <w:p>
      <w:pPr>
        <w:pStyle w:val="3"/>
        <w:spacing w:line="261" w:lineRule="auto"/>
        <w:ind w:left="106" w:right="259" w:firstLine="631"/>
        <w:jc w:val="both"/>
      </w:pPr>
      <w:r>
        <w:rPr>
          <w:rFonts w:hint="eastAsia" w:ascii="方正黑体_GBK" w:eastAsia="方正黑体_GBK"/>
          <w:spacing w:val="8"/>
        </w:rPr>
        <w:t xml:space="preserve">第三十条 </w:t>
      </w:r>
      <w:r>
        <w:rPr>
          <w:spacing w:val="-7"/>
        </w:rPr>
        <w:t>规章送审稿涉及重大利益调整的，政府法制机构</w:t>
      </w:r>
      <w:r>
        <w:rPr>
          <w:spacing w:val="-14"/>
        </w:rPr>
        <w:t>应当进行论证咨询，广泛听取有关方面的意见。论证咨询可以采取座谈会、论证会、听证会、委托研究等多种形式。政府法制机构可以根据实际需要建立立法咨询专家库。</w:t>
      </w:r>
    </w:p>
    <w:p>
      <w:pPr>
        <w:pStyle w:val="3"/>
        <w:spacing w:line="261" w:lineRule="auto"/>
        <w:ind w:left="106" w:right="148" w:firstLine="631"/>
        <w:jc w:val="both"/>
      </w:pPr>
      <w:r>
        <w:rPr>
          <w:rFonts w:hint="eastAsia" w:ascii="方正黑体_GBK" w:eastAsia="方正黑体_GBK"/>
          <w:spacing w:val="16"/>
        </w:rPr>
        <w:t xml:space="preserve">第三十一条 </w:t>
      </w:r>
      <w:r>
        <w:rPr>
          <w:spacing w:val="7"/>
        </w:rPr>
        <w:t>政府法制机构应当组织起草单位及时归纳整</w:t>
      </w:r>
      <w:r>
        <w:rPr>
          <w:spacing w:val="-11"/>
        </w:rPr>
        <w:t>理、研究处理各有关方面提出的意见和建议，能够采纳的予以采纳，不能采纳的说明理由。对社会公众反映集中的意见和建议， 应当以适当的形式反馈采纳情况。</w:t>
      </w:r>
    </w:p>
    <w:p>
      <w:pPr>
        <w:pStyle w:val="3"/>
        <w:spacing w:line="261" w:lineRule="auto"/>
        <w:ind w:left="106" w:right="259" w:firstLine="631"/>
        <w:jc w:val="both"/>
      </w:pPr>
      <w:r>
        <w:rPr>
          <w:rFonts w:hint="eastAsia" w:ascii="方正黑体_GBK" w:eastAsia="方正黑体_GBK"/>
          <w:spacing w:val="15"/>
        </w:rPr>
        <w:t xml:space="preserve">第三十二条 </w:t>
      </w:r>
      <w:r>
        <w:rPr>
          <w:spacing w:val="7"/>
        </w:rPr>
        <w:t>有关机构或者部门对规章送审稿涉及的主要</w:t>
      </w:r>
      <w:r>
        <w:rPr>
          <w:spacing w:val="-11"/>
        </w:rPr>
        <w:t>措施、管理体制、权限分工等问题有不同意见的，政府法制机构</w:t>
      </w:r>
      <w:r>
        <w:rPr>
          <w:spacing w:val="-15"/>
          <w:w w:val="95"/>
        </w:rPr>
        <w:t>应当进行协调，力求达成一致意见。对有较大争议的重要立法事</w:t>
      </w:r>
      <w:r>
        <w:rPr>
          <w:spacing w:val="-11"/>
        </w:rPr>
        <w:t>项，政府法制机构可以委托有关专家、教学科研单位、社会组织</w:t>
      </w:r>
      <w:r>
        <w:rPr>
          <w:spacing w:val="-14"/>
        </w:rPr>
        <w:t>进行评估。经过协调达成一致意见的，有关机构或者部门应当充分予以尊重；经过充分协调不能达成一致意见的，政府法制机构</w:t>
      </w:r>
      <w:r>
        <w:rPr>
          <w:spacing w:val="-15"/>
        </w:rPr>
        <w:t>应当将主要问题、有关机构或者部门的意见和政府法制机构的意见及时报市人民政府领导协调，或者报市人民政府决定。</w:t>
      </w:r>
    </w:p>
    <w:p>
      <w:pPr>
        <w:pStyle w:val="3"/>
        <w:spacing w:line="261" w:lineRule="auto"/>
        <w:ind w:left="106" w:right="259" w:firstLine="631"/>
        <w:jc w:val="both"/>
      </w:pPr>
      <w:r>
        <w:rPr>
          <w:rFonts w:hint="eastAsia" w:ascii="方正黑体_GBK" w:eastAsia="方正黑体_GBK"/>
        </w:rPr>
        <w:t xml:space="preserve">第三十三条 </w:t>
      </w:r>
      <w:r>
        <w:t>政府法制机构对规章送审稿进行审查修改后形成规章草案和对草案的说明，经主要负责人签署，提出提请市人民政府常务会议或者全体会议审议的建议。</w:t>
      </w:r>
    </w:p>
    <w:p>
      <w:pPr>
        <w:pStyle w:val="3"/>
        <w:spacing w:before="12"/>
      </w:pPr>
    </w:p>
    <w:p>
      <w:pPr>
        <w:pStyle w:val="3"/>
        <w:tabs>
          <w:tab w:val="left" w:pos="1279"/>
        </w:tabs>
        <w:spacing w:before="1"/>
        <w:ind w:right="156"/>
        <w:jc w:val="center"/>
        <w:rPr>
          <w:rFonts w:hint="eastAsia" w:ascii="方正小标宋_GBK" w:eastAsia="方正小标宋_GBK"/>
        </w:rPr>
      </w:pPr>
      <w:r>
        <w:rPr>
          <w:rFonts w:hint="eastAsia" w:ascii="方正小标宋_GBK" w:eastAsia="方正小标宋_GBK"/>
        </w:rPr>
        <w:t>第五章</w:t>
      </w:r>
      <w:r>
        <w:rPr>
          <w:rFonts w:hint="eastAsia" w:ascii="方正小标宋_GBK" w:eastAsia="方正小标宋_GBK"/>
        </w:rPr>
        <w:tab/>
      </w:r>
      <w:r>
        <w:rPr>
          <w:rFonts w:hint="eastAsia" w:ascii="方正小标宋_GBK" w:eastAsia="方正小标宋_GBK"/>
        </w:rPr>
        <w:t>决定和公布</w:t>
      </w:r>
    </w:p>
    <w:p>
      <w:pPr>
        <w:pStyle w:val="3"/>
        <w:spacing w:before="9"/>
        <w:rPr>
          <w:rFonts w:ascii="方正小标宋_GBK"/>
        </w:rPr>
      </w:pPr>
    </w:p>
    <w:p>
      <w:pPr>
        <w:pStyle w:val="3"/>
        <w:spacing w:line="261" w:lineRule="auto"/>
        <w:ind w:left="106" w:right="259" w:firstLine="631"/>
        <w:jc w:val="both"/>
      </w:pPr>
      <w:r>
        <w:rPr>
          <w:rFonts w:hint="eastAsia" w:ascii="方正黑体_GBK" w:eastAsia="方正黑体_GBK"/>
          <w:spacing w:val="15"/>
        </w:rPr>
        <w:t xml:space="preserve">第三十四条 </w:t>
      </w:r>
      <w:r>
        <w:rPr>
          <w:spacing w:val="7"/>
        </w:rPr>
        <w:t>规章草案由市人民政府常务会议或者全体会</w:t>
      </w:r>
      <w:r>
        <w:rPr>
          <w:spacing w:val="-9"/>
        </w:rPr>
        <w:t>议审议。涉及本规定第三条第二款规定情形的，按照市人民政府工作规则确定的程序进行。</w:t>
      </w:r>
    </w:p>
    <w:p>
      <w:pPr>
        <w:pStyle w:val="3"/>
        <w:spacing w:line="261" w:lineRule="auto"/>
        <w:ind w:left="106" w:right="257" w:firstLine="631"/>
        <w:jc w:val="both"/>
      </w:pPr>
      <w:r>
        <w:rPr>
          <w:rFonts w:hint="eastAsia" w:ascii="方正黑体_GBK" w:eastAsia="方正黑体_GBK"/>
          <w:spacing w:val="7"/>
        </w:rPr>
        <w:t xml:space="preserve">第三十五条 </w:t>
      </w:r>
      <w:r>
        <w:rPr>
          <w:spacing w:val="-8"/>
        </w:rPr>
        <w:t>市人民政府审议规章草案时，由政府法制机构</w:t>
      </w:r>
      <w:r>
        <w:rPr>
          <w:spacing w:val="-13"/>
        </w:rPr>
        <w:t>作说明，起草单位作补充说明，也可以由起草单位作说明，政府</w:t>
      </w:r>
      <w:r>
        <w:rPr>
          <w:spacing w:val="-16"/>
        </w:rPr>
        <w:t>法制机构作补充说明。与规章草案有关的机构或者部门应当指派</w:t>
      </w:r>
      <w:r>
        <w:rPr>
          <w:spacing w:val="-17"/>
        </w:rPr>
        <w:t>其主要负责人列席会议。会议列席人员应当事先熟悉规章草案的</w:t>
      </w:r>
      <w:r>
        <w:rPr>
          <w:spacing w:val="-15"/>
        </w:rPr>
        <w:t>相关内容，以及本机构或者部门向政府法制机构出具的最终书面意见。</w:t>
      </w:r>
    </w:p>
    <w:p>
      <w:pPr>
        <w:pStyle w:val="3"/>
        <w:spacing w:line="261" w:lineRule="auto"/>
        <w:ind w:left="106" w:right="259" w:firstLine="631"/>
        <w:jc w:val="both"/>
      </w:pPr>
      <w:r>
        <w:rPr>
          <w:rFonts w:hint="eastAsia" w:ascii="方正黑体_GBK" w:eastAsia="方正黑体_GBK"/>
          <w:spacing w:val="7"/>
        </w:rPr>
        <w:t xml:space="preserve">第三十六条 </w:t>
      </w:r>
      <w:r>
        <w:rPr>
          <w:spacing w:val="-10"/>
        </w:rPr>
        <w:t>规章草案经审议通过后，政府法制机构组织起</w:t>
      </w:r>
      <w:r>
        <w:rPr>
          <w:spacing w:val="-15"/>
        </w:rPr>
        <w:t>草单位根据审议意见对规章草案进行修改，形成草案修改稿，报</w:t>
      </w:r>
      <w:r>
        <w:rPr>
          <w:spacing w:val="-8"/>
          <w:w w:val="95"/>
        </w:rPr>
        <w:t xml:space="preserve">请市长签署命令予以公布，并及时在市人民政府公报、门户网站  </w:t>
      </w:r>
      <w:r>
        <w:rPr>
          <w:spacing w:val="-14"/>
        </w:rPr>
        <w:t>以及在本行政区域范围内发行的报纸上刊载。在市人民政府公报上刊登的规章文本为标准文本。</w:t>
      </w:r>
    </w:p>
    <w:p>
      <w:pPr>
        <w:pStyle w:val="3"/>
        <w:spacing w:line="261" w:lineRule="auto"/>
        <w:ind w:left="106" w:right="254" w:firstLine="631"/>
        <w:jc w:val="both"/>
      </w:pPr>
      <w:r>
        <w:rPr>
          <w:rFonts w:hint="eastAsia" w:ascii="方正黑体_GBK" w:eastAsia="方正黑体_GBK"/>
          <w:spacing w:val="15"/>
        </w:rPr>
        <w:t xml:space="preserve">第三十七条 </w:t>
      </w:r>
      <w:r>
        <w:rPr>
          <w:spacing w:val="7"/>
        </w:rPr>
        <w:t>规章实施机构或者部门应当自规章公布之日</w:t>
      </w:r>
      <w:r>
        <w:rPr>
          <w:spacing w:val="-24"/>
        </w:rPr>
        <w:t xml:space="preserve">起 </w:t>
      </w:r>
      <w:r>
        <w:rPr>
          <w:rFonts w:ascii="Times New Roman" w:eastAsia="Times New Roman"/>
        </w:rPr>
        <w:t xml:space="preserve">30 </w:t>
      </w:r>
      <w:r>
        <w:t>日内，经政府法制机构审查，在市人民政府门户网站对规</w:t>
      </w:r>
      <w:r>
        <w:rPr>
          <w:spacing w:val="-11"/>
        </w:rPr>
        <w:t>章进行解读，必要时，可以采取专题访谈、召开新闻发布会等方式进行解读。</w:t>
      </w:r>
    </w:p>
    <w:p>
      <w:pPr>
        <w:pStyle w:val="3"/>
        <w:tabs>
          <w:tab w:val="left" w:pos="2671"/>
        </w:tabs>
        <w:spacing w:line="261" w:lineRule="auto"/>
        <w:ind w:left="106" w:right="259" w:firstLine="631"/>
      </w:pPr>
      <w:r>
        <w:rPr>
          <w:rFonts w:hint="eastAsia" w:ascii="方正黑体_GBK" w:eastAsia="方正黑体_GBK"/>
        </w:rPr>
        <w:t>第</w:t>
      </w:r>
      <w:r>
        <w:rPr>
          <w:rFonts w:hint="eastAsia" w:ascii="方正黑体_GBK" w:eastAsia="方正黑体_GBK"/>
          <w:spacing w:val="5"/>
        </w:rPr>
        <w:t>三</w:t>
      </w:r>
      <w:r>
        <w:rPr>
          <w:rFonts w:hint="eastAsia" w:ascii="方正黑体_GBK" w:eastAsia="方正黑体_GBK"/>
        </w:rPr>
        <w:t>十八条</w:t>
      </w:r>
      <w:r>
        <w:rPr>
          <w:rFonts w:hint="eastAsia" w:ascii="方正黑体_GBK" w:eastAsia="方正黑体_GBK"/>
        </w:rPr>
        <w:tab/>
      </w:r>
      <w:r>
        <w:t>规</w:t>
      </w:r>
      <w:r>
        <w:rPr>
          <w:spacing w:val="5"/>
        </w:rPr>
        <w:t>章</w:t>
      </w:r>
      <w:r>
        <w:t>应当自</w:t>
      </w:r>
      <w:r>
        <w:rPr>
          <w:spacing w:val="5"/>
        </w:rPr>
        <w:t>公</w:t>
      </w:r>
      <w:r>
        <w:t>布之日起</w:t>
      </w:r>
      <w:r>
        <w:rPr>
          <w:spacing w:val="-46"/>
        </w:rPr>
        <w:t xml:space="preserve"> </w:t>
      </w:r>
      <w:r>
        <w:rPr>
          <w:rFonts w:ascii="Times New Roman" w:eastAsia="Times New Roman"/>
        </w:rPr>
        <w:t>30</w:t>
      </w:r>
      <w:r>
        <w:rPr>
          <w:rFonts w:ascii="Times New Roman" w:eastAsia="Times New Roman"/>
          <w:spacing w:val="20"/>
        </w:rPr>
        <w:t xml:space="preserve"> </w:t>
      </w:r>
      <w:r>
        <w:t>日</w:t>
      </w:r>
      <w:r>
        <w:rPr>
          <w:spacing w:val="5"/>
        </w:rPr>
        <w:t>后</w:t>
      </w:r>
      <w:r>
        <w:t>施行；</w:t>
      </w:r>
      <w:r>
        <w:rPr>
          <w:spacing w:val="5"/>
        </w:rPr>
        <w:t>但</w:t>
      </w:r>
      <w:r>
        <w:t>是</w:t>
      </w:r>
      <w:r>
        <w:rPr>
          <w:spacing w:val="9"/>
          <w:w w:val="95"/>
        </w:rPr>
        <w:t>涉</w:t>
      </w:r>
      <w:r>
        <w:rPr>
          <w:spacing w:val="7"/>
          <w:w w:val="95"/>
        </w:rPr>
        <w:t>及</w:t>
      </w:r>
      <w:r>
        <w:rPr>
          <w:spacing w:val="9"/>
          <w:w w:val="95"/>
        </w:rPr>
        <w:t>国家</w:t>
      </w:r>
      <w:r>
        <w:rPr>
          <w:spacing w:val="7"/>
          <w:w w:val="95"/>
        </w:rPr>
        <w:t>安</w:t>
      </w:r>
      <w:r>
        <w:rPr>
          <w:spacing w:val="9"/>
          <w:w w:val="95"/>
        </w:rPr>
        <w:t>全</w:t>
      </w:r>
      <w:r>
        <w:rPr>
          <w:spacing w:val="7"/>
          <w:w w:val="95"/>
        </w:rPr>
        <w:t>以</w:t>
      </w:r>
      <w:r>
        <w:rPr>
          <w:spacing w:val="9"/>
          <w:w w:val="95"/>
        </w:rPr>
        <w:t>及公</w:t>
      </w:r>
      <w:r>
        <w:rPr>
          <w:spacing w:val="7"/>
          <w:w w:val="95"/>
        </w:rPr>
        <w:t>布</w:t>
      </w:r>
      <w:r>
        <w:rPr>
          <w:spacing w:val="9"/>
          <w:w w:val="95"/>
        </w:rPr>
        <w:t>后不</w:t>
      </w:r>
      <w:r>
        <w:rPr>
          <w:spacing w:val="7"/>
          <w:w w:val="95"/>
        </w:rPr>
        <w:t>立</w:t>
      </w:r>
      <w:r>
        <w:rPr>
          <w:spacing w:val="9"/>
          <w:w w:val="95"/>
        </w:rPr>
        <w:t>即施</w:t>
      </w:r>
      <w:r>
        <w:rPr>
          <w:spacing w:val="7"/>
          <w:w w:val="95"/>
        </w:rPr>
        <w:t>行</w:t>
      </w:r>
      <w:r>
        <w:rPr>
          <w:spacing w:val="9"/>
          <w:w w:val="95"/>
        </w:rPr>
        <w:t>将</w:t>
      </w:r>
      <w:r>
        <w:rPr>
          <w:spacing w:val="7"/>
          <w:w w:val="95"/>
        </w:rPr>
        <w:t>有</w:t>
      </w:r>
      <w:r>
        <w:rPr>
          <w:spacing w:val="9"/>
          <w:w w:val="95"/>
        </w:rPr>
        <w:t>碍规</w:t>
      </w:r>
      <w:r>
        <w:rPr>
          <w:spacing w:val="7"/>
          <w:w w:val="95"/>
        </w:rPr>
        <w:t>章</w:t>
      </w:r>
      <w:r>
        <w:rPr>
          <w:spacing w:val="9"/>
          <w:w w:val="95"/>
        </w:rPr>
        <w:t>施行</w:t>
      </w:r>
      <w:r>
        <w:rPr>
          <w:spacing w:val="7"/>
          <w:w w:val="95"/>
        </w:rPr>
        <w:t>等</w:t>
      </w:r>
      <w:r>
        <w:rPr>
          <w:spacing w:val="9"/>
          <w:w w:val="95"/>
        </w:rPr>
        <w:t>法</w:t>
      </w:r>
      <w:r>
        <w:rPr>
          <w:spacing w:val="7"/>
          <w:w w:val="95"/>
        </w:rPr>
        <w:t>定</w:t>
      </w:r>
      <w:r>
        <w:rPr>
          <w:w w:val="95"/>
        </w:rPr>
        <w:t xml:space="preserve">情 </w:t>
      </w:r>
      <w:r>
        <w:t>形的，可以自公布之日起施行。</w:t>
      </w:r>
    </w:p>
    <w:p>
      <w:pPr>
        <w:pStyle w:val="3"/>
        <w:spacing w:before="8"/>
      </w:pPr>
    </w:p>
    <w:p>
      <w:pPr>
        <w:pStyle w:val="3"/>
        <w:tabs>
          <w:tab w:val="left" w:pos="1279"/>
        </w:tabs>
        <w:ind w:right="155"/>
        <w:jc w:val="center"/>
        <w:rPr>
          <w:rFonts w:hint="eastAsia" w:ascii="方正小标宋_GBK" w:eastAsia="方正小标宋_GBK"/>
        </w:rPr>
      </w:pPr>
      <w:r>
        <w:rPr>
          <w:rFonts w:hint="eastAsia" w:ascii="方正小标宋_GBK" w:eastAsia="方正小标宋_GBK"/>
        </w:rPr>
        <w:t>第六章</w:t>
      </w:r>
      <w:r>
        <w:rPr>
          <w:rFonts w:hint="eastAsia" w:ascii="方正小标宋_GBK" w:eastAsia="方正小标宋_GBK"/>
        </w:rPr>
        <w:tab/>
      </w:r>
      <w:r>
        <w:rPr>
          <w:rFonts w:hint="eastAsia" w:ascii="方正小标宋_GBK" w:eastAsia="方正小标宋_GBK"/>
        </w:rPr>
        <w:t>解释、备案、评估和清理</w:t>
      </w:r>
    </w:p>
    <w:p>
      <w:pPr>
        <w:pStyle w:val="3"/>
        <w:spacing w:before="12"/>
        <w:rPr>
          <w:rFonts w:ascii="方正小标宋_GBK"/>
        </w:rPr>
      </w:pPr>
    </w:p>
    <w:p>
      <w:pPr>
        <w:pStyle w:val="3"/>
        <w:spacing w:line="261" w:lineRule="auto"/>
        <w:ind w:left="106" w:right="260" w:firstLine="631"/>
        <w:jc w:val="both"/>
      </w:pPr>
      <w:r>
        <w:rPr>
          <w:rFonts w:hint="eastAsia" w:ascii="方正黑体_GBK" w:eastAsia="方正黑体_GBK"/>
          <w:spacing w:val="7"/>
        </w:rPr>
        <w:t xml:space="preserve">第三十九条 </w:t>
      </w:r>
      <w:r>
        <w:rPr>
          <w:spacing w:val="-7"/>
        </w:rPr>
        <w:t>规章的规定需要进一步明确具体含义，或者规</w:t>
      </w:r>
      <w:r>
        <w:rPr>
          <w:spacing w:val="-12"/>
        </w:rPr>
        <w:t>章制定后出现新的情况需要明确适用规章依据的，由规章实施机</w:t>
      </w:r>
      <w:r>
        <w:rPr>
          <w:spacing w:val="-17"/>
        </w:rPr>
        <w:t>构或者部门提出解释意见并经政府法制机构审查，也可以由政府</w:t>
      </w:r>
      <w:r>
        <w:rPr>
          <w:spacing w:val="-18"/>
        </w:rPr>
        <w:t>法制机构直接提出意见，报请市人民政府批准后公布。规章解释与规章具有同等效力。</w:t>
      </w:r>
    </w:p>
    <w:p>
      <w:pPr>
        <w:pStyle w:val="3"/>
        <w:spacing w:line="261" w:lineRule="auto"/>
        <w:ind w:left="106" w:right="259" w:firstLine="631"/>
        <w:jc w:val="both"/>
      </w:pPr>
      <w:r>
        <w:rPr>
          <w:rFonts w:hint="eastAsia" w:ascii="方正黑体_GBK" w:eastAsia="方正黑体_GBK"/>
        </w:rPr>
        <w:t xml:space="preserve">第四十条 </w:t>
      </w:r>
      <w:r>
        <w:t>对于涉及面广、社会影响大或者专业性强的规</w:t>
      </w:r>
      <w:r>
        <w:rPr>
          <w:w w:val="95"/>
        </w:rPr>
        <w:t xml:space="preserve">章，实施机构或者部门可以会同政府法制机构组织编写规章释 </w:t>
      </w:r>
      <w:r>
        <w:t>义。</w:t>
      </w:r>
    </w:p>
    <w:p>
      <w:pPr>
        <w:pStyle w:val="3"/>
        <w:spacing w:line="511" w:lineRule="exact"/>
        <w:ind w:left="737"/>
        <w:jc w:val="both"/>
      </w:pPr>
      <w:r>
        <w:rPr>
          <w:rFonts w:hint="eastAsia" w:ascii="方正黑体_GBK" w:eastAsia="方正黑体_GBK"/>
        </w:rPr>
        <w:t xml:space="preserve">第四十一条 </w:t>
      </w:r>
      <w:r>
        <w:t xml:space="preserve">规章应当自公布之日起 </w:t>
      </w:r>
      <w:r>
        <w:rPr>
          <w:rFonts w:ascii="Times New Roman" w:eastAsia="Times New Roman"/>
        </w:rPr>
        <w:t xml:space="preserve">30 </w:t>
      </w:r>
      <w:r>
        <w:t>日内，由政府法制机构按照国家和自治区有关规定报送备案。</w:t>
      </w:r>
    </w:p>
    <w:p>
      <w:pPr>
        <w:pStyle w:val="3"/>
        <w:spacing w:before="46" w:line="261" w:lineRule="auto"/>
        <w:ind w:left="106" w:right="258" w:firstLine="631"/>
        <w:jc w:val="both"/>
      </w:pPr>
      <w:r>
        <w:rPr>
          <w:rFonts w:hint="eastAsia" w:ascii="方正黑体_GBK" w:eastAsia="方正黑体_GBK"/>
          <w:spacing w:val="15"/>
        </w:rPr>
        <w:t xml:space="preserve">第四十二条 </w:t>
      </w:r>
      <w:r>
        <w:rPr>
          <w:spacing w:val="7"/>
        </w:rPr>
        <w:t>规章明确要求对专门事项作出配套的具体规</w:t>
      </w:r>
      <w:r>
        <w:rPr>
          <w:spacing w:val="-11"/>
        </w:rPr>
        <w:t>定的，除规章另有规定的外，规章实施机构或者部门应当在制定</w:t>
      </w:r>
      <w:r>
        <w:rPr>
          <w:spacing w:val="-15"/>
        </w:rPr>
        <w:t>规章的同时制定配套规定。逾期未作出规定的，应当向市人民政府书面说明情况。</w:t>
      </w:r>
    </w:p>
    <w:p>
      <w:pPr>
        <w:pStyle w:val="3"/>
        <w:spacing w:line="261" w:lineRule="auto"/>
        <w:ind w:left="106" w:right="157" w:firstLine="631"/>
        <w:jc w:val="both"/>
      </w:pPr>
      <w:r>
        <w:rPr>
          <w:rFonts w:hint="eastAsia" w:ascii="方正黑体_GBK" w:eastAsia="方正黑体_GBK"/>
          <w:spacing w:val="7"/>
        </w:rPr>
        <w:t xml:space="preserve">第四十三条 </w:t>
      </w:r>
      <w:r>
        <w:rPr>
          <w:spacing w:val="-1"/>
        </w:rPr>
        <w:t>事关经济社会发展全局的规章以及涉及公民、</w:t>
      </w:r>
      <w:r>
        <w:rPr>
          <w:spacing w:val="6"/>
        </w:rPr>
        <w:t>法人或者其他组织切身利益的规章，或者规章有下列情形之一</w:t>
      </w:r>
      <w:r>
        <w:rPr>
          <w:spacing w:val="-10"/>
        </w:rPr>
        <w:t>的，规章实施机构或者部门应当组织开展立法评估，必要时，政府法制机构可以组织规章实施机构或者部门开展评估</w:t>
      </w:r>
    </w:p>
    <w:p>
      <w:pPr>
        <w:pStyle w:val="3"/>
        <w:spacing w:line="509" w:lineRule="exact"/>
        <w:ind w:left="737"/>
      </w:pPr>
      <w:r>
        <w:t>（一）拟上升为地方性法规的；</w:t>
      </w:r>
    </w:p>
    <w:p>
      <w:pPr>
        <w:pStyle w:val="3"/>
        <w:spacing w:before="38"/>
        <w:ind w:left="737"/>
      </w:pPr>
      <w:r>
        <w:t>（二）拟作重大修改，或者拟废止但有较大争议的</w:t>
      </w:r>
    </w:p>
    <w:p>
      <w:pPr>
        <w:pStyle w:val="3"/>
        <w:spacing w:before="47" w:line="261" w:lineRule="auto"/>
        <w:ind w:left="106" w:right="261" w:firstLine="631"/>
      </w:pPr>
      <w:r>
        <w:rPr>
          <w:w w:val="95"/>
        </w:rPr>
        <w:t>（三</w:t>
      </w:r>
      <w:r>
        <w:rPr>
          <w:spacing w:val="-34"/>
          <w:w w:val="95"/>
        </w:rPr>
        <w:t>）</w:t>
      </w:r>
      <w:r>
        <w:rPr>
          <w:spacing w:val="-8"/>
          <w:w w:val="95"/>
        </w:rPr>
        <w:t xml:space="preserve">行政执法监督、行政复议、行政诉讼中发现问题较多 </w:t>
      </w:r>
      <w:r>
        <w:rPr>
          <w:spacing w:val="-8"/>
        </w:rPr>
        <w:t>的；</w:t>
      </w:r>
    </w:p>
    <w:p>
      <w:pPr>
        <w:pStyle w:val="3"/>
        <w:spacing w:line="261" w:lineRule="auto"/>
        <w:ind w:left="106" w:right="259" w:firstLine="631"/>
      </w:pPr>
      <w:r>
        <w:rPr>
          <w:w w:val="95"/>
        </w:rPr>
        <w:t>（四</w:t>
      </w:r>
      <w:r>
        <w:rPr>
          <w:spacing w:val="-34"/>
          <w:w w:val="95"/>
        </w:rPr>
        <w:t>）</w:t>
      </w:r>
      <w:r>
        <w:rPr>
          <w:spacing w:val="-8"/>
          <w:w w:val="95"/>
        </w:rPr>
        <w:t xml:space="preserve">人大代表、政协委员以及社会公众、有关组织反映问 </w:t>
      </w:r>
      <w:r>
        <w:rPr>
          <w:spacing w:val="-8"/>
        </w:rPr>
        <w:t>题较为集中的；</w:t>
      </w:r>
    </w:p>
    <w:p>
      <w:pPr>
        <w:pStyle w:val="3"/>
        <w:spacing w:line="513" w:lineRule="exact"/>
        <w:ind w:left="737"/>
      </w:pPr>
      <w:r>
        <w:rPr>
          <w:w w:val="95"/>
        </w:rPr>
        <w:t>（五）其他需要评估的情形。</w:t>
      </w:r>
    </w:p>
    <w:p>
      <w:pPr>
        <w:pStyle w:val="3"/>
        <w:spacing w:before="40" w:line="261" w:lineRule="auto"/>
        <w:ind w:left="106" w:right="258" w:firstLine="631"/>
        <w:jc w:val="both"/>
      </w:pPr>
      <w:r>
        <w:rPr>
          <w:spacing w:val="-10"/>
        </w:rPr>
        <w:t>评估结果应当作为修改、废止规章以及完善配套制度的重要</w:t>
      </w:r>
      <w:r>
        <w:rPr>
          <w:spacing w:val="-12"/>
        </w:rPr>
        <w:t>参考。因上位法调整或者紧急情况需要修改规章的，经政府法制机构审查，可以不开展立法评估。</w:t>
      </w:r>
    </w:p>
    <w:p>
      <w:pPr>
        <w:pStyle w:val="3"/>
        <w:spacing w:line="261" w:lineRule="auto"/>
        <w:ind w:left="106" w:right="102" w:firstLine="631"/>
        <w:jc w:val="both"/>
      </w:pPr>
      <w:r>
        <w:rPr>
          <w:rFonts w:hint="eastAsia" w:ascii="方正黑体_GBK" w:eastAsia="方正黑体_GBK"/>
          <w:spacing w:val="13"/>
        </w:rPr>
        <w:t xml:space="preserve">第四十四条  </w:t>
      </w:r>
      <w:r>
        <w:rPr>
          <w:spacing w:val="7"/>
        </w:rPr>
        <w:t>规章实施机构或者部门组织开展规章立法评</w:t>
      </w:r>
      <w:r>
        <w:rPr>
          <w:spacing w:val="-10"/>
        </w:rPr>
        <w:t>估，应当形成评估报告报市人民政府，并抄送政府法制机构。评</w:t>
      </w:r>
      <w:r>
        <w:rPr>
          <w:spacing w:val="-21"/>
          <w:w w:val="95"/>
        </w:rPr>
        <w:t>估报告应当包括对规章的合法性、合理性、协调性等规范性评价，</w:t>
      </w:r>
      <w:r>
        <w:rPr>
          <w:spacing w:val="-9"/>
          <w:w w:val="95"/>
        </w:rPr>
        <w:t xml:space="preserve">对规章的社会知晓度、满意度等实效性评价，以及针对规章存在 </w:t>
      </w:r>
      <w:r>
        <w:rPr>
          <w:spacing w:val="-9"/>
        </w:rPr>
        <w:t>的主要问题、原因提出进一步完善的具体对策建议等内容。</w:t>
      </w:r>
    </w:p>
    <w:p>
      <w:pPr>
        <w:pStyle w:val="3"/>
        <w:spacing w:line="261" w:lineRule="auto"/>
        <w:ind w:left="106" w:right="257" w:firstLine="631"/>
        <w:jc w:val="both"/>
      </w:pPr>
      <w:r>
        <w:rPr>
          <w:rFonts w:hint="eastAsia" w:ascii="方正黑体_GBK" w:eastAsia="方正黑体_GBK"/>
          <w:spacing w:val="16"/>
        </w:rPr>
        <w:t xml:space="preserve">第四十五条 </w:t>
      </w:r>
      <w:r>
        <w:rPr>
          <w:spacing w:val="-1"/>
        </w:rPr>
        <w:t xml:space="preserve">市人民政府可以每 </w:t>
      </w:r>
      <w:r>
        <w:rPr>
          <w:rFonts w:ascii="Times New Roman" w:eastAsia="Times New Roman"/>
        </w:rPr>
        <w:t xml:space="preserve">5 </w:t>
      </w:r>
      <w:r>
        <w:rPr>
          <w:spacing w:val="7"/>
        </w:rPr>
        <w:t>年组织一次对规章的全</w:t>
      </w:r>
      <w:r>
        <w:rPr>
          <w:spacing w:val="-10"/>
          <w:w w:val="95"/>
        </w:rPr>
        <w:t xml:space="preserve">面清理。根据国家、自治区要求或者本行政区域经济社会发展需  </w:t>
      </w:r>
      <w:r>
        <w:rPr>
          <w:spacing w:val="-13"/>
        </w:rPr>
        <w:t>要，及时组织对规章的专项清理。规章清理结果应当报市政府常</w:t>
      </w:r>
      <w:r>
        <w:rPr>
          <w:spacing w:val="-16"/>
        </w:rPr>
        <w:t>务会议或者全体会议审议。经审议通过的修改、废止或者宣布失</w:t>
      </w:r>
      <w:r>
        <w:rPr>
          <w:spacing w:val="-15"/>
        </w:rPr>
        <w:t>效的决定，应当向社会公开。规章修改的，还应当公布修改后的全文。</w:t>
      </w:r>
    </w:p>
    <w:p>
      <w:pPr>
        <w:pStyle w:val="3"/>
        <w:spacing w:line="261" w:lineRule="auto"/>
        <w:ind w:left="106" w:right="257" w:firstLine="631"/>
        <w:jc w:val="both"/>
      </w:pPr>
      <w:r>
        <w:rPr>
          <w:rFonts w:hint="eastAsia" w:ascii="方正黑体_GBK" w:eastAsia="方正黑体_GBK"/>
          <w:spacing w:val="7"/>
        </w:rPr>
        <w:t xml:space="preserve">第四十六条 </w:t>
      </w:r>
      <w:r>
        <w:rPr>
          <w:spacing w:val="-10"/>
        </w:rPr>
        <w:t>规章有下列情形之一的，实施机构或者部门应</w:t>
      </w:r>
      <w:r>
        <w:rPr>
          <w:spacing w:val="-15"/>
        </w:rPr>
        <w:t>当及时向市人民政府提出修改或者废止的建议，并抄送政府法制</w:t>
      </w:r>
      <w:r>
        <w:rPr>
          <w:spacing w:val="-13"/>
        </w:rPr>
        <w:t>机构，必要时，政府法制机构可以直接向市人民政府提出修改或者废止的建议</w:t>
      </w:r>
    </w:p>
    <w:p>
      <w:pPr>
        <w:pStyle w:val="3"/>
        <w:spacing w:line="261" w:lineRule="auto"/>
        <w:ind w:left="106" w:right="258" w:firstLine="631"/>
      </w:pPr>
      <w:r>
        <w:rPr>
          <w:spacing w:val="9"/>
          <w:w w:val="95"/>
        </w:rPr>
        <w:t>（一）</w:t>
      </w:r>
      <w:r>
        <w:rPr>
          <w:spacing w:val="8"/>
          <w:w w:val="95"/>
        </w:rPr>
        <w:t xml:space="preserve">与新制定的上位法抵触或者所依据的上位法已经修 </w:t>
      </w:r>
      <w:r>
        <w:rPr>
          <w:spacing w:val="8"/>
        </w:rPr>
        <w:t>改、废止的；</w:t>
      </w:r>
    </w:p>
    <w:p>
      <w:pPr>
        <w:pStyle w:val="3"/>
        <w:spacing w:line="513" w:lineRule="exact"/>
        <w:ind w:left="737"/>
      </w:pPr>
      <w:r>
        <w:t>（二）规章内容已经被新制定的法律、法规、规章替代的；</w:t>
      </w:r>
    </w:p>
    <w:p>
      <w:pPr>
        <w:pStyle w:val="3"/>
        <w:spacing w:before="28" w:line="261" w:lineRule="auto"/>
        <w:ind w:left="106" w:right="260" w:firstLine="631"/>
      </w:pPr>
      <w:r>
        <w:t>（三</w:t>
      </w:r>
      <w:r>
        <w:rPr>
          <w:spacing w:val="-51"/>
        </w:rPr>
        <w:t>）</w:t>
      </w:r>
      <w:r>
        <w:rPr>
          <w:spacing w:val="-4"/>
        </w:rPr>
        <w:t>制定规章所依据的实际情况发生重大变化，规定的内容不合理或者难以执行的；</w:t>
      </w:r>
    </w:p>
    <w:p>
      <w:pPr>
        <w:pStyle w:val="3"/>
        <w:spacing w:line="261" w:lineRule="auto"/>
        <w:ind w:left="106" w:right="257" w:firstLine="631"/>
      </w:pPr>
      <w:r>
        <w:t>（四</w:t>
      </w:r>
      <w:r>
        <w:rPr>
          <w:spacing w:val="-51"/>
        </w:rPr>
        <w:t>）</w:t>
      </w:r>
      <w:r>
        <w:rPr>
          <w:spacing w:val="-8"/>
        </w:rPr>
        <w:t>经评估、清理认为不适应全面深化改革和经济社会发展要求的其他情形。</w:t>
      </w:r>
    </w:p>
    <w:p>
      <w:pPr>
        <w:pStyle w:val="3"/>
        <w:spacing w:line="261" w:lineRule="auto"/>
        <w:ind w:left="106" w:right="260" w:firstLine="631"/>
      </w:pPr>
      <w:r>
        <w:rPr>
          <w:spacing w:val="-6"/>
        </w:rPr>
        <w:t>政府法制机构对修改或者废止规章的建议进行研究论证，确需修改或者废止的，按照本规定的有关程序执行。</w:t>
      </w:r>
    </w:p>
    <w:p>
      <w:pPr>
        <w:pStyle w:val="3"/>
        <w:tabs>
          <w:tab w:val="left" w:pos="2657"/>
        </w:tabs>
        <w:spacing w:line="513" w:lineRule="exact"/>
        <w:ind w:left="737"/>
      </w:pPr>
      <w:r>
        <w:rPr>
          <w:rFonts w:hint="eastAsia" w:ascii="方正黑体_GBK" w:eastAsia="方正黑体_GBK"/>
        </w:rPr>
        <w:t>第四十七条</w:t>
      </w:r>
      <w:r>
        <w:rPr>
          <w:rFonts w:hint="eastAsia" w:ascii="方正黑体_GBK" w:eastAsia="方正黑体_GBK"/>
        </w:rPr>
        <w:tab/>
      </w:r>
      <w:r>
        <w:t>市人民政府可以建立规章数据库</w:t>
      </w:r>
      <w:r>
        <w:rPr>
          <w:spacing w:val="-103"/>
        </w:rPr>
        <w:t>，</w:t>
      </w:r>
      <w:r>
        <w:t>及时将规章</w:t>
      </w:r>
    </w:p>
    <w:p>
      <w:pPr>
        <w:pStyle w:val="3"/>
        <w:tabs>
          <w:tab w:val="left" w:pos="2657"/>
        </w:tabs>
        <w:spacing w:line="513" w:lineRule="exact"/>
        <w:ind w:left="15" w:leftChars="0" w:hanging="15" w:hangingChars="5"/>
      </w:pPr>
      <w:bookmarkStart w:id="0" w:name="_GoBack"/>
      <w:bookmarkEnd w:id="0"/>
      <w:r>
        <w:rPr>
          <w:spacing w:val="-7"/>
        </w:rPr>
        <w:t>及其解释文本以及规章的修改、废止等情况纳入数据库，并向社</w:t>
      </w:r>
      <w:r>
        <w:rPr>
          <w:spacing w:val="-12"/>
          <w:w w:val="95"/>
        </w:rPr>
        <w:t xml:space="preserve">会公布，逐步实现现行有效规章目录、文本动态化、信息化、可 </w:t>
      </w:r>
      <w:r>
        <w:rPr>
          <w:spacing w:val="-12"/>
        </w:rPr>
        <w:t>查询管理。</w:t>
      </w:r>
    </w:p>
    <w:p>
      <w:pPr>
        <w:pStyle w:val="3"/>
        <w:spacing w:before="2"/>
        <w:rPr>
          <w:sz w:val="33"/>
        </w:rPr>
      </w:pPr>
    </w:p>
    <w:p>
      <w:pPr>
        <w:pStyle w:val="3"/>
        <w:tabs>
          <w:tab w:val="left" w:pos="1281"/>
          <w:tab w:val="left" w:pos="1919"/>
        </w:tabs>
        <w:ind w:right="156"/>
        <w:jc w:val="center"/>
        <w:rPr>
          <w:rFonts w:hint="eastAsia" w:ascii="方正小标宋_GBK" w:eastAsia="方正小标宋_GBK"/>
        </w:rPr>
      </w:pPr>
      <w:r>
        <w:rPr>
          <w:rFonts w:hint="eastAsia" w:ascii="方正小标宋_GBK" w:eastAsia="方正小标宋_GBK"/>
        </w:rPr>
        <w:t>第七章</w:t>
      </w:r>
      <w:r>
        <w:rPr>
          <w:rFonts w:hint="eastAsia" w:ascii="方正小标宋_GBK" w:eastAsia="方正小标宋_GBK"/>
        </w:rPr>
        <w:tab/>
      </w:r>
      <w:r>
        <w:rPr>
          <w:rFonts w:hint="eastAsia" w:ascii="方正小标宋_GBK" w:eastAsia="方正小标宋_GBK"/>
        </w:rPr>
        <w:t>附</w:t>
      </w:r>
      <w:r>
        <w:rPr>
          <w:rFonts w:hint="eastAsia" w:ascii="方正小标宋_GBK" w:eastAsia="方正小标宋_GBK"/>
        </w:rPr>
        <w:tab/>
      </w:r>
      <w:r>
        <w:rPr>
          <w:rFonts w:hint="eastAsia" w:ascii="方正小标宋_GBK" w:eastAsia="方正小标宋_GBK"/>
        </w:rPr>
        <w:t>则</w:t>
      </w:r>
    </w:p>
    <w:p>
      <w:pPr>
        <w:pStyle w:val="3"/>
        <w:spacing w:before="10"/>
        <w:rPr>
          <w:rFonts w:ascii="方正小标宋_GBK"/>
        </w:rPr>
      </w:pPr>
    </w:p>
    <w:p>
      <w:pPr>
        <w:pStyle w:val="3"/>
        <w:tabs>
          <w:tab w:val="left" w:pos="2717"/>
        </w:tabs>
        <w:spacing w:line="261" w:lineRule="auto"/>
        <w:ind w:left="106" w:right="259" w:firstLine="631"/>
      </w:pPr>
      <w:r>
        <w:rPr>
          <w:rFonts w:hint="eastAsia" w:ascii="方正黑体_GBK" w:eastAsia="方正黑体_GBK"/>
          <w:spacing w:val="9"/>
        </w:rPr>
        <w:t>第四十八</w:t>
      </w:r>
      <w:r>
        <w:rPr>
          <w:rFonts w:hint="eastAsia" w:ascii="方正黑体_GBK" w:eastAsia="方正黑体_GBK"/>
        </w:rPr>
        <w:t>条</w:t>
      </w:r>
      <w:r>
        <w:rPr>
          <w:rFonts w:hint="eastAsia" w:ascii="方正黑体_GBK" w:eastAsia="方正黑体_GBK"/>
        </w:rPr>
        <w:tab/>
      </w:r>
      <w:r>
        <w:rPr>
          <w:spacing w:val="9"/>
          <w:w w:val="95"/>
        </w:rPr>
        <w:t>拟订市人民政府</w:t>
      </w:r>
      <w:r>
        <w:rPr>
          <w:spacing w:val="7"/>
          <w:w w:val="95"/>
        </w:rPr>
        <w:t>提</w:t>
      </w:r>
      <w:r>
        <w:rPr>
          <w:spacing w:val="9"/>
          <w:w w:val="95"/>
        </w:rPr>
        <w:t>请市人民代表大会及其</w:t>
      </w:r>
      <w:r>
        <w:rPr>
          <w:w w:val="95"/>
        </w:rPr>
        <w:t>常</w:t>
      </w:r>
      <w:r>
        <w:t>务委员会审议的地方性法规草案，参照本规定执行。</w:t>
      </w:r>
    </w:p>
    <w:p>
      <w:pPr>
        <w:pStyle w:val="3"/>
        <w:tabs>
          <w:tab w:val="left" w:pos="2657"/>
        </w:tabs>
        <w:spacing w:line="513" w:lineRule="exact"/>
        <w:ind w:left="737"/>
        <w:rPr>
          <w:sz w:val="28"/>
        </w:rPr>
      </w:pPr>
      <w:r>
        <w:rPr>
          <w:rFonts w:hint="eastAsia" w:ascii="方正黑体_GBK" w:eastAsia="方正黑体_GBK"/>
        </w:rPr>
        <w:t>第四十九条</w:t>
      </w:r>
      <w:r>
        <w:rPr>
          <w:rFonts w:hint="eastAsia" w:ascii="方正黑体_GBK" w:eastAsia="方正黑体_GBK"/>
        </w:rPr>
        <w:tab/>
      </w:r>
      <w:r>
        <w:t>本规定自</w:t>
      </w:r>
      <w:r>
        <w:rPr>
          <w:spacing w:val="-65"/>
        </w:rPr>
        <w:t xml:space="preserve"> </w:t>
      </w:r>
      <w:r>
        <w:rPr>
          <w:rFonts w:ascii="Times New Roman" w:eastAsia="Times New Roman"/>
        </w:rPr>
        <w:t>2019</w:t>
      </w:r>
      <w:r>
        <w:rPr>
          <w:rFonts w:ascii="Times New Roman" w:eastAsia="Times New Roman"/>
          <w:spacing w:val="1"/>
        </w:rPr>
        <w:t xml:space="preserve"> </w:t>
      </w:r>
      <w:r>
        <w:t>年</w:t>
      </w:r>
      <w:r>
        <w:rPr>
          <w:spacing w:val="-61"/>
        </w:rPr>
        <w:t xml:space="preserve"> </w:t>
      </w:r>
      <w:r>
        <w:rPr>
          <w:rFonts w:ascii="Times New Roman" w:eastAsia="Times New Roman"/>
        </w:rPr>
        <w:t>10</w:t>
      </w:r>
      <w:r>
        <w:rPr>
          <w:rFonts w:ascii="Times New Roman" w:eastAsia="Times New Roman"/>
          <w:spacing w:val="1"/>
        </w:rPr>
        <w:t xml:space="preserve"> </w:t>
      </w:r>
      <w:r>
        <w:t>月</w:t>
      </w:r>
      <w:r>
        <w:rPr>
          <w:spacing w:val="-64"/>
        </w:rPr>
        <w:t xml:space="preserve"> </w:t>
      </w:r>
      <w:r>
        <w:rPr>
          <w:rFonts w:ascii="Times New Roman" w:eastAsia="Times New Roman"/>
        </w:rPr>
        <w:t>1</w:t>
      </w:r>
      <w:r>
        <w:rPr>
          <w:rFonts w:ascii="Times New Roman" w:eastAsia="Times New Roman"/>
          <w:spacing w:val="-1"/>
        </w:rPr>
        <w:t xml:space="preserve"> </w:t>
      </w:r>
      <w:r>
        <w:t>日起施行。</w:t>
      </w:r>
    </w:p>
    <w:sectPr>
      <w:footerReference r:id="rId7" w:type="default"/>
      <w:footerReference r:id="rId8" w:type="even"/>
      <w:pgSz w:w="11920" w:h="16850"/>
      <w:pgMar w:top="1600" w:right="1220" w:bottom="1960" w:left="1480" w:header="0" w:footer="177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5645785</wp:posOffset>
              </wp:positionH>
              <wp:positionV relativeFrom="page">
                <wp:posOffset>9433560</wp:posOffset>
              </wp:positionV>
              <wp:extent cx="648970" cy="229235"/>
              <wp:effectExtent l="0" t="0" r="0" b="0"/>
              <wp:wrapNone/>
              <wp:docPr id="2" name="文本框 1"/>
              <wp:cNvGraphicFramePr/>
              <a:graphic xmlns:a="http://schemas.openxmlformats.org/drawingml/2006/main">
                <a:graphicData uri="http://schemas.microsoft.com/office/word/2010/wordprocessingShape">
                  <wps:wsp>
                    <wps:cNvSpPr txBox="1"/>
                    <wps:spPr>
                      <a:xfrm>
                        <a:off x="0" y="0"/>
                        <a:ext cx="648970" cy="229235"/>
                      </a:xfrm>
                      <a:prstGeom prst="rect">
                        <a:avLst/>
                      </a:prstGeom>
                      <a:noFill/>
                      <a:ln>
                        <a:noFill/>
                      </a:ln>
                    </wps:spPr>
                    <wps:txbx>
                      <w:txbxContent>
                        <w:p>
                          <w:pPr>
                            <w:spacing w:before="0" w:line="340" w:lineRule="exact"/>
                            <w:ind w:left="20" w:right="0" w:firstLine="0"/>
                            <w:jc w:val="left"/>
                            <w:rPr>
                              <w:rFonts w:ascii="宋体" w:hAnsi="宋体"/>
                              <w:sz w:val="28"/>
                            </w:rPr>
                          </w:pPr>
                          <w:r>
                            <w:rPr>
                              <w:rFonts w:ascii="宋体" w:hAnsi="宋体"/>
                              <w:sz w:val="28"/>
                            </w:rPr>
                            <w:t xml:space="preserve">— </w:t>
                          </w:r>
                          <w:r>
                            <w:fldChar w:fldCharType="begin"/>
                          </w:r>
                          <w:r>
                            <w:rPr>
                              <w:rFonts w:ascii="宋体" w:hAnsi="宋体"/>
                              <w:sz w:val="28"/>
                            </w:rPr>
                            <w:instrText xml:space="preserve"> PAGE </w:instrText>
                          </w:r>
                          <w:r>
                            <w:fldChar w:fldCharType="separate"/>
                          </w:r>
                          <w:r>
                            <w:t>1</w:t>
                          </w:r>
                          <w:r>
                            <w:fldChar w:fldCharType="end"/>
                          </w:r>
                          <w:r>
                            <w:rPr>
                              <w:rFonts w:ascii="宋体" w:hAnsi="宋体"/>
                              <w:sz w:val="28"/>
                            </w:rPr>
                            <w:t xml:space="preserve"> —</w:t>
                          </w:r>
                        </w:p>
                      </w:txbxContent>
                    </wps:txbx>
                    <wps:bodyPr lIns="0" tIns="0" rIns="0" bIns="0" upright="1"/>
                  </wps:wsp>
                </a:graphicData>
              </a:graphic>
            </wp:anchor>
          </w:drawing>
        </mc:Choice>
        <mc:Fallback>
          <w:pict>
            <v:shape id="文本框 1" o:spid="_x0000_s1026" o:spt="202" type="#_x0000_t202" style="position:absolute;left:0pt;margin-left:444.55pt;margin-top:742.8pt;height:18.05pt;width:51.1pt;mso-position-horizontal-relative:page;mso-position-vertical-relative:page;z-index:-251657216;mso-width-relative:page;mso-height-relative:page;" filled="f" stroked="f" coordsize="21600,21600" o:gfxdata="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Fe3vjvbAAAADQEAAA8AAAAAAAAAAQAgAAAAIgAAAGRycy9kb3ducmV2LnhtbFBL&#10;AQIUABQAAAAIAIdO4kAZsqILugEAAHEDAAAOAAAAAAAAAAEAIAAAACoBAABkcnMvZTJvRG9jLnht&#10;bFBLBQYAAAAABgAGAFkBAABWBQAAAAA=&#10;">
              <v:fill on="f" focussize="0,0"/>
              <v:stroke on="f"/>
              <v:imagedata o:title=""/>
              <o:lock v:ext="edit" aspectratio="f"/>
              <v:textbox inset="0mm,0mm,0mm,0mm">
                <w:txbxContent>
                  <w:p>
                    <w:pPr>
                      <w:spacing w:before="0" w:line="340" w:lineRule="exact"/>
                      <w:ind w:left="20" w:right="0" w:firstLine="0"/>
                      <w:jc w:val="left"/>
                      <w:rPr>
                        <w:rFonts w:ascii="宋体" w:hAnsi="宋体"/>
                        <w:sz w:val="28"/>
                      </w:rPr>
                    </w:pPr>
                    <w:r>
                      <w:rPr>
                        <w:rFonts w:ascii="宋体" w:hAnsi="宋体"/>
                        <w:sz w:val="28"/>
                      </w:rPr>
                      <w:t xml:space="preserve">— </w:t>
                    </w:r>
                    <w:r>
                      <w:fldChar w:fldCharType="begin"/>
                    </w:r>
                    <w:r>
                      <w:rPr>
                        <w:rFonts w:ascii="宋体" w:hAnsi="宋体"/>
                        <w:sz w:val="28"/>
                      </w:rPr>
                      <w:instrText xml:space="preserve"> PAGE </w:instrText>
                    </w:r>
                    <w:r>
                      <w:fldChar w:fldCharType="separate"/>
                    </w:r>
                    <w:r>
                      <w:t>1</w:t>
                    </w:r>
                    <w:r>
                      <w:fldChar w:fldCharType="end"/>
                    </w:r>
                    <w:r>
                      <w:rPr>
                        <w:rFonts w:ascii="宋体" w:hAnsi="宋体"/>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1375410</wp:posOffset>
              </wp:positionH>
              <wp:positionV relativeFrom="page">
                <wp:posOffset>9433560</wp:posOffset>
              </wp:positionV>
              <wp:extent cx="648970" cy="229235"/>
              <wp:effectExtent l="0" t="0" r="0" b="0"/>
              <wp:wrapNone/>
              <wp:docPr id="3" name="文本框 2"/>
              <wp:cNvGraphicFramePr/>
              <a:graphic xmlns:a="http://schemas.openxmlformats.org/drawingml/2006/main">
                <a:graphicData uri="http://schemas.microsoft.com/office/word/2010/wordprocessingShape">
                  <wps:wsp>
                    <wps:cNvSpPr txBox="1"/>
                    <wps:spPr>
                      <a:xfrm>
                        <a:off x="0" y="0"/>
                        <a:ext cx="648970" cy="229235"/>
                      </a:xfrm>
                      <a:prstGeom prst="rect">
                        <a:avLst/>
                      </a:prstGeom>
                      <a:noFill/>
                      <a:ln>
                        <a:noFill/>
                      </a:ln>
                    </wps:spPr>
                    <wps:txbx>
                      <w:txbxContent>
                        <w:p>
                          <w:pPr>
                            <w:spacing w:before="0" w:line="340" w:lineRule="exact"/>
                            <w:ind w:left="20" w:right="0" w:firstLine="0"/>
                            <w:jc w:val="left"/>
                            <w:rPr>
                              <w:rFonts w:ascii="宋体" w:hAnsi="宋体"/>
                              <w:sz w:val="28"/>
                            </w:rPr>
                          </w:pPr>
                          <w:r>
                            <w:rPr>
                              <w:rFonts w:ascii="宋体" w:hAnsi="宋体"/>
                              <w:sz w:val="28"/>
                            </w:rPr>
                            <w:t xml:space="preserve">— </w:t>
                          </w:r>
                          <w:r>
                            <w:fldChar w:fldCharType="begin"/>
                          </w:r>
                          <w:r>
                            <w:rPr>
                              <w:rFonts w:ascii="宋体" w:hAnsi="宋体"/>
                              <w:sz w:val="28"/>
                            </w:rPr>
                            <w:instrText xml:space="preserve"> PAGE </w:instrText>
                          </w:r>
                          <w:r>
                            <w:fldChar w:fldCharType="separate"/>
                          </w:r>
                          <w:r>
                            <w:t>2</w:t>
                          </w:r>
                          <w:r>
                            <w:fldChar w:fldCharType="end"/>
                          </w:r>
                          <w:r>
                            <w:rPr>
                              <w:rFonts w:ascii="宋体" w:hAnsi="宋体"/>
                              <w:sz w:val="28"/>
                            </w:rPr>
                            <w:t xml:space="preserve"> —</w:t>
                          </w:r>
                        </w:p>
                      </w:txbxContent>
                    </wps:txbx>
                    <wps:bodyPr lIns="0" tIns="0" rIns="0" bIns="0" upright="1"/>
                  </wps:wsp>
                </a:graphicData>
              </a:graphic>
            </wp:anchor>
          </w:drawing>
        </mc:Choice>
        <mc:Fallback>
          <w:pict>
            <v:shape id="文本框 2" o:spid="_x0000_s1026" o:spt="202" type="#_x0000_t202" style="position:absolute;left:0pt;margin-left:108.3pt;margin-top:742.8pt;height:18.05pt;width:51.1pt;mso-position-horizontal-relative:page;mso-position-vertical-relative:page;z-index:-251656192;mso-width-relative:page;mso-height-relative:page;" filled="f" stroked="f" coordsize="21600,21600" o:gfxdata="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0Q20XbAAAADQEAAA8AAAAAAAAAAQAgAAAAIgAAAGRycy9kb3ducmV2LnhtbFBL&#10;AQIUABQAAAAIAIdO4kAwLt8NugEAAHEDAAAOAAAAAAAAAAEAIAAAACoBAABkcnMvZTJvRG9jLnht&#10;bFBLBQYAAAAABgAGAFkBAABWBQAAAAA=&#10;">
              <v:fill on="f" focussize="0,0"/>
              <v:stroke on="f"/>
              <v:imagedata o:title=""/>
              <o:lock v:ext="edit" aspectratio="f"/>
              <v:textbox inset="0mm,0mm,0mm,0mm">
                <w:txbxContent>
                  <w:p>
                    <w:pPr>
                      <w:spacing w:before="0" w:line="340" w:lineRule="exact"/>
                      <w:ind w:left="20" w:right="0" w:firstLine="0"/>
                      <w:jc w:val="left"/>
                      <w:rPr>
                        <w:rFonts w:ascii="宋体" w:hAnsi="宋体"/>
                        <w:sz w:val="28"/>
                      </w:rPr>
                    </w:pPr>
                    <w:r>
                      <w:rPr>
                        <w:rFonts w:ascii="宋体" w:hAnsi="宋体"/>
                        <w:sz w:val="28"/>
                      </w:rPr>
                      <w:t xml:space="preserve">— </w:t>
                    </w:r>
                    <w:r>
                      <w:fldChar w:fldCharType="begin"/>
                    </w:r>
                    <w:r>
                      <w:rPr>
                        <w:rFonts w:ascii="宋体" w:hAnsi="宋体"/>
                        <w:sz w:val="28"/>
                      </w:rPr>
                      <w:instrText xml:space="preserve"> PAGE </w:instrText>
                    </w:r>
                    <w:r>
                      <w:fldChar w:fldCharType="separate"/>
                    </w:r>
                    <w:r>
                      <w:t>2</w:t>
                    </w:r>
                    <w:r>
                      <w:fldChar w:fldCharType="end"/>
                    </w:r>
                    <w:r>
                      <w:rPr>
                        <w:rFonts w:ascii="宋体" w:hAnsi="宋体"/>
                        <w:sz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5645785</wp:posOffset>
              </wp:positionH>
              <wp:positionV relativeFrom="page">
                <wp:posOffset>9433560</wp:posOffset>
              </wp:positionV>
              <wp:extent cx="737235" cy="229235"/>
              <wp:effectExtent l="0" t="0" r="0" b="0"/>
              <wp:wrapNone/>
              <wp:docPr id="5" name="文本框 4"/>
              <wp:cNvGraphicFramePr/>
              <a:graphic xmlns:a="http://schemas.openxmlformats.org/drawingml/2006/main">
                <a:graphicData uri="http://schemas.microsoft.com/office/word/2010/wordprocessingShape">
                  <wps:wsp>
                    <wps:cNvSpPr txBox="1"/>
                    <wps:spPr>
                      <a:xfrm>
                        <a:off x="0" y="0"/>
                        <a:ext cx="737235" cy="229235"/>
                      </a:xfrm>
                      <a:prstGeom prst="rect">
                        <a:avLst/>
                      </a:prstGeom>
                      <a:noFill/>
                      <a:ln>
                        <a:noFill/>
                      </a:ln>
                    </wps:spPr>
                    <wps:txbx>
                      <w:txbxContent>
                        <w:p>
                          <w:pPr>
                            <w:spacing w:before="0" w:line="340" w:lineRule="exact"/>
                            <w:ind w:left="20" w:right="0" w:firstLine="0"/>
                            <w:jc w:val="left"/>
                            <w:rPr>
                              <w:rFonts w:ascii="宋体" w:hAnsi="宋体"/>
                              <w:sz w:val="28"/>
                            </w:rPr>
                          </w:pPr>
                          <w:r>
                            <w:rPr>
                              <w:rFonts w:ascii="宋体" w:hAnsi="宋体"/>
                              <w:sz w:val="28"/>
                            </w:rPr>
                            <w:t xml:space="preserve">— </w:t>
                          </w:r>
                          <w:r>
                            <w:fldChar w:fldCharType="begin"/>
                          </w:r>
                          <w:r>
                            <w:rPr>
                              <w:rFonts w:ascii="宋体" w:hAnsi="宋体"/>
                              <w:sz w:val="28"/>
                            </w:rPr>
                            <w:instrText xml:space="preserve"> PAGE </w:instrText>
                          </w:r>
                          <w:r>
                            <w:fldChar w:fldCharType="separate"/>
                          </w:r>
                          <w:r>
                            <w:t>11</w:t>
                          </w:r>
                          <w:r>
                            <w:fldChar w:fldCharType="end"/>
                          </w:r>
                          <w:r>
                            <w:rPr>
                              <w:rFonts w:ascii="宋体" w:hAnsi="宋体"/>
                              <w:sz w:val="28"/>
                            </w:rPr>
                            <w:t xml:space="preserve"> —</w:t>
                          </w:r>
                        </w:p>
                      </w:txbxContent>
                    </wps:txbx>
                    <wps:bodyPr lIns="0" tIns="0" rIns="0" bIns="0" upright="1"/>
                  </wps:wsp>
                </a:graphicData>
              </a:graphic>
            </wp:anchor>
          </w:drawing>
        </mc:Choice>
        <mc:Fallback>
          <w:pict>
            <v:shape id="文本框 4" o:spid="_x0000_s1026" o:spt="202" type="#_x0000_t202" style="position:absolute;left:0pt;margin-left:444.55pt;margin-top:742.8pt;height:18.05pt;width:58.05pt;mso-position-horizontal-relative:page;mso-position-vertical-relative:page;z-index:-251654144;mso-width-relative:page;mso-height-relative:page;" filled="f" stroked="f" coordsize="21600,21600" o:gfxdata="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B48gQNsAAAAOAQAADwAAAAAAAAABACAAAAAiAAAAZHJzL2Rvd25yZXYueG1sUEsB&#10;AhQAFAAAAAgAh07iQHZRFli5AQAAcQMAAA4AAAAAAAAAAQAgAAAAKgEAAGRycy9lMm9Eb2MueG1s&#10;UEsFBgAAAAAGAAYAWQEAAFUFAAAAAA==&#10;">
              <v:fill on="f" focussize="0,0"/>
              <v:stroke on="f"/>
              <v:imagedata o:title=""/>
              <o:lock v:ext="edit" aspectratio="f"/>
              <v:textbox inset="0mm,0mm,0mm,0mm">
                <w:txbxContent>
                  <w:p>
                    <w:pPr>
                      <w:spacing w:before="0" w:line="340" w:lineRule="exact"/>
                      <w:ind w:left="20" w:right="0" w:firstLine="0"/>
                      <w:jc w:val="left"/>
                      <w:rPr>
                        <w:rFonts w:ascii="宋体" w:hAnsi="宋体"/>
                        <w:sz w:val="28"/>
                      </w:rPr>
                    </w:pPr>
                    <w:r>
                      <w:rPr>
                        <w:rFonts w:ascii="宋体" w:hAnsi="宋体"/>
                        <w:sz w:val="28"/>
                      </w:rPr>
                      <w:t xml:space="preserve">— </w:t>
                    </w:r>
                    <w:r>
                      <w:fldChar w:fldCharType="begin"/>
                    </w:r>
                    <w:r>
                      <w:rPr>
                        <w:rFonts w:ascii="宋体" w:hAnsi="宋体"/>
                        <w:sz w:val="28"/>
                      </w:rPr>
                      <w:instrText xml:space="preserve"> PAGE </w:instrText>
                    </w:r>
                    <w:r>
                      <w:fldChar w:fldCharType="separate"/>
                    </w:r>
                    <w:r>
                      <w:t>11</w:t>
                    </w:r>
                    <w:r>
                      <w:fldChar w:fldCharType="end"/>
                    </w:r>
                    <w:r>
                      <w:rPr>
                        <w:rFonts w:ascii="宋体" w:hAnsi="宋体"/>
                        <w:sz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1375410</wp:posOffset>
              </wp:positionH>
              <wp:positionV relativeFrom="page">
                <wp:posOffset>9433560</wp:posOffset>
              </wp:positionV>
              <wp:extent cx="737235" cy="229235"/>
              <wp:effectExtent l="0" t="0" r="0" b="0"/>
              <wp:wrapNone/>
              <wp:docPr id="4" name="文本框 3"/>
              <wp:cNvGraphicFramePr/>
              <a:graphic xmlns:a="http://schemas.openxmlformats.org/drawingml/2006/main">
                <a:graphicData uri="http://schemas.microsoft.com/office/word/2010/wordprocessingShape">
                  <wps:wsp>
                    <wps:cNvSpPr txBox="1"/>
                    <wps:spPr>
                      <a:xfrm>
                        <a:off x="0" y="0"/>
                        <a:ext cx="737235" cy="229235"/>
                      </a:xfrm>
                      <a:prstGeom prst="rect">
                        <a:avLst/>
                      </a:prstGeom>
                      <a:noFill/>
                      <a:ln>
                        <a:noFill/>
                      </a:ln>
                    </wps:spPr>
                    <wps:txbx>
                      <w:txbxContent>
                        <w:p>
                          <w:pPr>
                            <w:spacing w:before="0" w:line="340" w:lineRule="exact"/>
                            <w:ind w:left="20" w:right="0" w:firstLine="0"/>
                            <w:jc w:val="left"/>
                            <w:rPr>
                              <w:rFonts w:ascii="宋体" w:hAnsi="宋体"/>
                              <w:sz w:val="28"/>
                            </w:rPr>
                          </w:pPr>
                          <w:r>
                            <w:rPr>
                              <w:rFonts w:ascii="宋体" w:hAnsi="宋体"/>
                              <w:sz w:val="28"/>
                            </w:rPr>
                            <w:t xml:space="preserve">— </w:t>
                          </w:r>
                          <w:r>
                            <w:fldChar w:fldCharType="begin"/>
                          </w:r>
                          <w:r>
                            <w:rPr>
                              <w:rFonts w:ascii="宋体" w:hAnsi="宋体"/>
                              <w:sz w:val="28"/>
                            </w:rPr>
                            <w:instrText xml:space="preserve"> PAGE </w:instrText>
                          </w:r>
                          <w:r>
                            <w:fldChar w:fldCharType="separate"/>
                          </w:r>
                          <w:r>
                            <w:t>10</w:t>
                          </w:r>
                          <w:r>
                            <w:fldChar w:fldCharType="end"/>
                          </w:r>
                          <w:r>
                            <w:rPr>
                              <w:rFonts w:ascii="宋体" w:hAnsi="宋体"/>
                              <w:sz w:val="28"/>
                            </w:rPr>
                            <w:t xml:space="preserve"> —</w:t>
                          </w:r>
                        </w:p>
                      </w:txbxContent>
                    </wps:txbx>
                    <wps:bodyPr lIns="0" tIns="0" rIns="0" bIns="0" upright="1"/>
                  </wps:wsp>
                </a:graphicData>
              </a:graphic>
            </wp:anchor>
          </w:drawing>
        </mc:Choice>
        <mc:Fallback>
          <w:pict>
            <v:shape id="文本框 3" o:spid="_x0000_s1026" o:spt="202" type="#_x0000_t202" style="position:absolute;left:0pt;margin-left:108.3pt;margin-top:742.8pt;height:18.05pt;width:58.05pt;mso-position-horizontal-relative:page;mso-position-vertical-relative:page;z-index:-251655168;mso-width-relative:page;mso-height-relative:page;" filled="f" stroked="f" coordsize="21600,21600" o:gfxdata="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EHVGUTcAAAADQEAAA8AAAAAAAAAAQAgAAAAIgAAAGRycy9kb3ducmV2LnhtbFBL&#10;AQIUABQAAAAIAIdO4kCmELLPuQEAAHEDAAAOAAAAAAAAAAEAIAAAACsBAABkcnMvZTJvRG9jLnht&#10;bFBLBQYAAAAABgAGAFkBAABWBQAAAAA=&#10;">
              <v:fill on="f" focussize="0,0"/>
              <v:stroke on="f"/>
              <v:imagedata o:title=""/>
              <o:lock v:ext="edit" aspectratio="f"/>
              <v:textbox inset="0mm,0mm,0mm,0mm">
                <w:txbxContent>
                  <w:p>
                    <w:pPr>
                      <w:spacing w:before="0" w:line="340" w:lineRule="exact"/>
                      <w:ind w:left="20" w:right="0" w:firstLine="0"/>
                      <w:jc w:val="left"/>
                      <w:rPr>
                        <w:rFonts w:ascii="宋体" w:hAnsi="宋体"/>
                        <w:sz w:val="28"/>
                      </w:rPr>
                    </w:pPr>
                    <w:r>
                      <w:rPr>
                        <w:rFonts w:ascii="宋体" w:hAnsi="宋体"/>
                        <w:sz w:val="28"/>
                      </w:rPr>
                      <w:t xml:space="preserve">— </w:t>
                    </w:r>
                    <w:r>
                      <w:fldChar w:fldCharType="begin"/>
                    </w:r>
                    <w:r>
                      <w:rPr>
                        <w:rFonts w:ascii="宋体" w:hAnsi="宋体"/>
                        <w:sz w:val="28"/>
                      </w:rPr>
                      <w:instrText xml:space="preserve"> PAGE </w:instrText>
                    </w:r>
                    <w:r>
                      <w:fldChar w:fldCharType="separate"/>
                    </w:r>
                    <w:r>
                      <w:t>10</w:t>
                    </w:r>
                    <w:r>
                      <w:fldChar w:fldCharType="end"/>
                    </w:r>
                    <w:r>
                      <w:rPr>
                        <w:rFonts w:ascii="宋体" w:hAnsi="宋体"/>
                        <w:sz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3F19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方正仿宋_GBK" w:hAnsi="方正仿宋_GBK" w:eastAsia="方正仿宋_GBK" w:cs="方正仿宋_GBK"/>
      <w:sz w:val="22"/>
      <w:szCs w:val="22"/>
      <w:lang w:val="zh-CN" w:eastAsia="zh-CN" w:bidi="zh-CN"/>
    </w:rPr>
  </w:style>
  <w:style w:type="paragraph" w:styleId="2">
    <w:name w:val="heading 1"/>
    <w:basedOn w:val="1"/>
    <w:next w:val="1"/>
    <w:qFormat/>
    <w:uiPriority w:val="1"/>
    <w:pPr>
      <w:outlineLvl w:val="1"/>
    </w:pPr>
    <w:rPr>
      <w:rFonts w:ascii="方正小标宋_GBK" w:hAnsi="方正小标宋_GBK" w:eastAsia="方正小标宋_GBK" w:cs="方正小标宋_GBK"/>
      <w:sz w:val="44"/>
      <w:szCs w:val="44"/>
      <w:lang w:val="zh-CN" w:eastAsia="zh-CN" w:bidi="zh-CN"/>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方正仿宋_GBK" w:hAnsi="方正仿宋_GBK" w:eastAsia="方正仿宋_GBK" w:cs="方正仿宋_GBK"/>
      <w:sz w:val="32"/>
      <w:szCs w:val="3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ScaleCrop>false</ScaleCrop>
  <LinksUpToDate>false</LinksUpToDate>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2022-01-06T06:20:00Z</dcterms:created>
  <dc:creator>admin</dc:creator>
  <cp:lastModifiedBy>雨夜烛光</cp:lastModifiedBy>
  <dcterms:modified xsi:type="dcterms:W3CDTF">2022-01-06T06:40:13Z</dcterms:modified>
  <dc:title>石嘴山市人民政府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2022-01-06T00:00:00Z</vt:filetime>
  </property>
  <property fmtid="{D5CDD505-2E9C-101B-9397-08002B2CF9AE}" pid="3" name="Creator">
    <vt:lpwstr>WPS Office Professional</vt:lpwstr>
  </property>
  <property fmtid="{D5CDD505-2E9C-101B-9397-08002B2CF9AE}" pid="4" name="LastSaved">
    <vt:filetime>2022-01-06T00:00:00Z</vt:filetime>
  </property>
  <property fmtid="{D5CDD505-2E9C-101B-9397-08002B2CF9AE}" pid="5" name="KSOProductBuildVer">
    <vt:lpwstr>2052-11.1.0.11194</vt:lpwstr>
  </property>
  <property fmtid="{D5CDD505-2E9C-101B-9397-08002B2CF9AE}" pid="6" name="ICV">
    <vt:lpwstr>F588DAA3CB3346CE9C9552C967112AE1</vt:lpwstr>
  </property>
</Properties>
</file>